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single" w:sz="4" w:space="0" w:color="C00000"/>
          <w:right w:val="none" w:sz="0" w:space="0" w:color="auto"/>
          <w:insideH w:val="none" w:sz="0" w:space="0" w:color="auto"/>
          <w:insideV w:val="none" w:sz="0" w:space="0" w:color="auto"/>
        </w:tblBorders>
        <w:tblLook w:val="04A0" w:firstRow="1" w:lastRow="0" w:firstColumn="1" w:lastColumn="0" w:noHBand="0" w:noVBand="1"/>
      </w:tblPr>
      <w:tblGrid>
        <w:gridCol w:w="9212"/>
      </w:tblGrid>
      <w:tr w:rsidR="00825411" w:rsidRPr="006047A5" w14:paraId="1E0E1822" w14:textId="77777777">
        <w:tc>
          <w:tcPr>
            <w:tcW w:w="9212" w:type="dxa"/>
          </w:tcPr>
          <w:p w14:paraId="7044E4E5" w14:textId="1C54E2B2" w:rsidR="00825411" w:rsidRPr="00835938" w:rsidRDefault="00825411" w:rsidP="003A7ED1">
            <w:pPr>
              <w:pStyle w:val="Heading1"/>
              <w:spacing w:before="0"/>
              <w:rPr>
                <w:rFonts w:asciiTheme="minorHAnsi" w:hAnsiTheme="minorHAnsi"/>
                <w:color w:val="C00000"/>
                <w:sz w:val="48"/>
                <w:lang w:val="en-US"/>
              </w:rPr>
            </w:pPr>
            <w:r w:rsidRPr="00132966">
              <w:rPr>
                <w:rFonts w:asciiTheme="minorHAnsi" w:hAnsiTheme="minorHAnsi"/>
                <w:color w:val="C00000"/>
                <w:sz w:val="48"/>
                <w:lang w:val="en-US"/>
              </w:rPr>
              <w:t>AMC Aspermont Dividend Stock Basket</w:t>
            </w:r>
          </w:p>
        </w:tc>
      </w:tr>
    </w:tbl>
    <w:p w14:paraId="1DC09C68" w14:textId="552726FE" w:rsidR="00825411" w:rsidRPr="00BE59E1" w:rsidRDefault="00825411" w:rsidP="00825411">
      <w:pPr>
        <w:spacing w:before="120" w:after="120"/>
        <w:jc w:val="center"/>
        <w:rPr>
          <w:rFonts w:ascii="Calibri" w:hAnsi="Calibri" w:cs="Calibri"/>
          <w:b/>
          <w:sz w:val="24"/>
          <w:lang w:val="en-US"/>
        </w:rPr>
      </w:pPr>
      <w:r w:rsidRPr="00BE59E1">
        <w:rPr>
          <w:rFonts w:ascii="Calibri" w:hAnsi="Calibri" w:cs="Calibri"/>
          <w:b/>
          <w:sz w:val="24"/>
          <w:lang w:val="en-US"/>
        </w:rPr>
        <w:t xml:space="preserve">Product update as of </w:t>
      </w:r>
      <w:r w:rsidR="00D909FA">
        <w:rPr>
          <w:rFonts w:ascii="Calibri" w:hAnsi="Calibri" w:cs="Calibri"/>
          <w:b/>
          <w:sz w:val="24"/>
          <w:lang w:val="en-US"/>
        </w:rPr>
        <w:t>September</w:t>
      </w:r>
      <w:r w:rsidR="006A2FDA">
        <w:rPr>
          <w:rFonts w:ascii="Calibri" w:hAnsi="Calibri" w:cs="Calibri"/>
          <w:b/>
          <w:sz w:val="24"/>
          <w:lang w:val="en-US"/>
        </w:rPr>
        <w:t xml:space="preserve"> 3</w:t>
      </w:r>
      <w:r w:rsidR="00D909FA">
        <w:rPr>
          <w:rFonts w:ascii="Calibri" w:hAnsi="Calibri" w:cs="Calibri"/>
          <w:b/>
          <w:sz w:val="24"/>
          <w:lang w:val="en-US"/>
        </w:rPr>
        <w:t>0</w:t>
      </w:r>
      <w:r w:rsidR="00E12761">
        <w:rPr>
          <w:rFonts w:ascii="Calibri" w:hAnsi="Calibri" w:cs="Calibri"/>
          <w:b/>
          <w:sz w:val="24"/>
          <w:lang w:val="en-US"/>
        </w:rPr>
        <w:t>,</w:t>
      </w:r>
      <w:r w:rsidRPr="00BE59E1">
        <w:rPr>
          <w:rFonts w:ascii="Calibri" w:hAnsi="Calibri" w:cs="Calibri"/>
          <w:b/>
          <w:sz w:val="24"/>
          <w:lang w:val="en-US"/>
        </w:rPr>
        <w:t xml:space="preserve"> 202</w:t>
      </w:r>
      <w:r w:rsidR="006D3DFA">
        <w:rPr>
          <w:rFonts w:ascii="Calibri" w:hAnsi="Calibri" w:cs="Calibri"/>
          <w:b/>
          <w:sz w:val="24"/>
          <w:lang w:val="en-US"/>
        </w:rPr>
        <w:t>6</w:t>
      </w:r>
      <w:r w:rsidRPr="00BE59E1">
        <w:rPr>
          <w:rFonts w:ascii="Calibri" w:hAnsi="Calibri" w:cs="Calibri"/>
          <w:b/>
          <w:sz w:val="24"/>
          <w:lang w:val="en-US"/>
        </w:rPr>
        <w:tab/>
      </w:r>
    </w:p>
    <w:p w14:paraId="013D0346" w14:textId="6452BF7E" w:rsidR="00825411" w:rsidRPr="003D1AF6" w:rsidRDefault="00825411" w:rsidP="00825411">
      <w:pPr>
        <w:spacing w:after="0"/>
        <w:rPr>
          <w:rFonts w:ascii="Calibri" w:hAnsi="Calibri" w:cs="Calibri"/>
          <w:b/>
          <w:sz w:val="18"/>
          <w:lang w:val="en-US"/>
        </w:rPr>
      </w:pPr>
      <w:r w:rsidRPr="00BE59E1">
        <w:rPr>
          <w:rFonts w:ascii="Calibri" w:hAnsi="Calibri" w:cs="Calibri"/>
          <w:b/>
          <w:sz w:val="18"/>
          <w:lang w:val="en-US"/>
        </w:rPr>
        <w:t xml:space="preserve">NAV per </w:t>
      </w:r>
      <w:r w:rsidRPr="00182A34">
        <w:rPr>
          <w:rFonts w:ascii="Calibri" w:hAnsi="Calibri" w:cs="Calibri"/>
          <w:b/>
          <w:sz w:val="18"/>
          <w:lang w:val="en-US"/>
        </w:rPr>
        <w:t>share (</w:t>
      </w:r>
      <w:r w:rsidR="00D909FA">
        <w:rPr>
          <w:rFonts w:ascii="Calibri" w:hAnsi="Calibri" w:cs="Calibri"/>
          <w:b/>
          <w:sz w:val="18"/>
          <w:lang w:val="en-US"/>
        </w:rPr>
        <w:t>September</w:t>
      </w:r>
      <w:r w:rsidR="004E5A2D">
        <w:rPr>
          <w:rFonts w:ascii="Calibri" w:hAnsi="Calibri" w:cs="Calibri"/>
          <w:b/>
          <w:sz w:val="18"/>
          <w:lang w:val="en-US"/>
        </w:rPr>
        <w:t xml:space="preserve"> 3</w:t>
      </w:r>
      <w:r w:rsidR="00D909FA">
        <w:rPr>
          <w:rFonts w:ascii="Calibri" w:hAnsi="Calibri" w:cs="Calibri"/>
          <w:b/>
          <w:sz w:val="18"/>
          <w:lang w:val="en-US"/>
        </w:rPr>
        <w:t>0</w:t>
      </w:r>
      <w:r w:rsidRPr="00182A34">
        <w:rPr>
          <w:rFonts w:ascii="Calibri" w:hAnsi="Calibri" w:cs="Calibri"/>
          <w:b/>
          <w:sz w:val="18"/>
          <w:lang w:val="en-US"/>
        </w:rPr>
        <w:t>, 202</w:t>
      </w:r>
      <w:r w:rsidR="006D3DFA">
        <w:rPr>
          <w:rFonts w:ascii="Calibri" w:hAnsi="Calibri" w:cs="Calibri"/>
          <w:b/>
          <w:sz w:val="18"/>
          <w:lang w:val="en-US"/>
        </w:rPr>
        <w:t>6</w:t>
      </w:r>
      <w:r w:rsidRPr="00182A34">
        <w:rPr>
          <w:rFonts w:ascii="Calibri" w:hAnsi="Calibri" w:cs="Calibri"/>
          <w:b/>
          <w:sz w:val="18"/>
          <w:lang w:val="en-US"/>
        </w:rPr>
        <w:t xml:space="preserve">): </w:t>
      </w:r>
      <w:bookmarkStart w:id="0" w:name="_Hlk155621766"/>
      <w:r w:rsidR="007264CB" w:rsidRPr="00182A34">
        <w:rPr>
          <w:b/>
          <w:sz w:val="18"/>
          <w:lang w:val="en-US"/>
        </w:rPr>
        <w:t xml:space="preserve">EUR </w:t>
      </w:r>
      <w:r w:rsidR="004E5A2D">
        <w:rPr>
          <w:b/>
          <w:sz w:val="18"/>
          <w:lang w:val="en-US"/>
        </w:rPr>
        <w:t>2</w:t>
      </w:r>
      <w:r w:rsidR="00F600D8">
        <w:rPr>
          <w:b/>
          <w:sz w:val="18"/>
          <w:lang w:val="en-US"/>
        </w:rPr>
        <w:t>18</w:t>
      </w:r>
      <w:r w:rsidR="004E5A2D">
        <w:rPr>
          <w:b/>
          <w:sz w:val="18"/>
          <w:lang w:val="en-US"/>
        </w:rPr>
        <w:t>.</w:t>
      </w:r>
      <w:r w:rsidR="00F600D8">
        <w:rPr>
          <w:b/>
          <w:sz w:val="18"/>
          <w:lang w:val="en-US"/>
        </w:rPr>
        <w:t>73</w:t>
      </w:r>
      <w:r w:rsidR="007264CB" w:rsidRPr="00182A34">
        <w:rPr>
          <w:b/>
          <w:sz w:val="18"/>
          <w:lang w:val="en-US"/>
        </w:rPr>
        <w:t xml:space="preserve">, monthly </w:t>
      </w:r>
      <w:r w:rsidR="007264CB" w:rsidRPr="003D1AF6">
        <w:rPr>
          <w:b/>
          <w:sz w:val="18"/>
          <w:lang w:val="en-US"/>
        </w:rPr>
        <w:t>performance</w:t>
      </w:r>
      <w:bookmarkEnd w:id="0"/>
      <w:r w:rsidRPr="003D1AF6">
        <w:rPr>
          <w:rFonts w:ascii="Calibri" w:hAnsi="Calibri" w:cs="Calibri"/>
          <w:b/>
          <w:sz w:val="18"/>
          <w:lang w:val="en-US"/>
        </w:rPr>
        <w:t xml:space="preserve">: </w:t>
      </w:r>
      <w:r w:rsidR="00CF7F78">
        <w:rPr>
          <w:rFonts w:ascii="Calibri" w:hAnsi="Calibri" w:cs="Calibri"/>
          <w:b/>
          <w:sz w:val="18"/>
          <w:lang w:val="en-US"/>
        </w:rPr>
        <w:t>-1.46</w:t>
      </w:r>
      <w:r w:rsidRPr="003D1AF6">
        <w:rPr>
          <w:rFonts w:ascii="Calibri" w:hAnsi="Calibri" w:cs="Calibri"/>
          <w:b/>
          <w:sz w:val="18"/>
          <w:lang w:val="en-US"/>
        </w:rPr>
        <w:t>%, YTD:</w:t>
      </w:r>
      <w:r w:rsidR="00AE518A">
        <w:rPr>
          <w:rFonts w:ascii="Calibri" w:hAnsi="Calibri" w:cs="Calibri"/>
          <w:b/>
          <w:sz w:val="18"/>
          <w:lang w:val="en-US"/>
        </w:rPr>
        <w:t xml:space="preserve"> </w:t>
      </w:r>
      <w:r w:rsidR="006A2FDA">
        <w:rPr>
          <w:rFonts w:ascii="Calibri" w:hAnsi="Calibri" w:cs="Calibri"/>
          <w:b/>
          <w:sz w:val="18"/>
          <w:lang w:val="en-US"/>
        </w:rPr>
        <w:t>1</w:t>
      </w:r>
      <w:r w:rsidR="00AE518A">
        <w:rPr>
          <w:rFonts w:ascii="Calibri" w:hAnsi="Calibri" w:cs="Calibri"/>
          <w:b/>
          <w:sz w:val="18"/>
          <w:lang w:val="en-US"/>
        </w:rPr>
        <w:t>1</w:t>
      </w:r>
      <w:r w:rsidR="00CF7F78">
        <w:rPr>
          <w:rFonts w:ascii="Calibri" w:hAnsi="Calibri" w:cs="Calibri"/>
          <w:b/>
          <w:sz w:val="18"/>
          <w:lang w:val="en-US"/>
        </w:rPr>
        <w:t>.01</w:t>
      </w:r>
      <w:r w:rsidRPr="003D1AF6">
        <w:rPr>
          <w:rFonts w:ascii="Calibri" w:hAnsi="Calibri" w:cs="Calibri"/>
          <w:b/>
          <w:sz w:val="18"/>
          <w:lang w:val="en-US"/>
        </w:rPr>
        <w:t>%,</w:t>
      </w:r>
      <w:r w:rsidR="009174AB" w:rsidRPr="003D1AF6">
        <w:rPr>
          <w:rFonts w:ascii="Calibri" w:hAnsi="Calibri" w:cs="Calibri"/>
          <w:b/>
          <w:sz w:val="18"/>
          <w:lang w:val="en-US"/>
        </w:rPr>
        <w:t xml:space="preserve"> </w:t>
      </w:r>
      <w:r w:rsidRPr="003D1AF6">
        <w:rPr>
          <w:rFonts w:ascii="Calibri" w:hAnsi="Calibri" w:cs="Calibri"/>
          <w:b/>
          <w:sz w:val="18"/>
          <w:lang w:val="en-US"/>
        </w:rPr>
        <w:t>since inception: +</w:t>
      </w:r>
      <w:r w:rsidR="006A2FDA">
        <w:rPr>
          <w:rFonts w:ascii="Calibri" w:hAnsi="Calibri" w:cs="Calibri"/>
          <w:b/>
          <w:sz w:val="18"/>
          <w:lang w:val="en-US"/>
        </w:rPr>
        <w:t>1</w:t>
      </w:r>
      <w:r w:rsidR="00CF7F78">
        <w:rPr>
          <w:rFonts w:ascii="Calibri" w:hAnsi="Calibri" w:cs="Calibri"/>
          <w:b/>
          <w:sz w:val="18"/>
          <w:lang w:val="en-US"/>
        </w:rPr>
        <w:t>18.29</w:t>
      </w:r>
      <w:r w:rsidR="00DA188E" w:rsidRPr="003D1AF6">
        <w:rPr>
          <w:rFonts w:ascii="Calibri" w:hAnsi="Calibri" w:cs="Calibri"/>
          <w:b/>
          <w:sz w:val="18"/>
          <w:lang w:val="en-US"/>
        </w:rPr>
        <w:t>%</w:t>
      </w:r>
    </w:p>
    <w:p w14:paraId="1CB33E78" w14:textId="5FB04459" w:rsidR="00825411" w:rsidRPr="00BE59E1" w:rsidRDefault="00825411" w:rsidP="00825411">
      <w:pPr>
        <w:pStyle w:val="Heading1"/>
        <w:spacing w:before="240" w:after="120" w:line="240" w:lineRule="auto"/>
        <w:rPr>
          <w:rFonts w:ascii="Calibri" w:hAnsi="Calibri" w:cs="Calibri"/>
          <w:color w:val="C00000"/>
          <w:sz w:val="24"/>
          <w:lang w:val="en-US"/>
        </w:rPr>
      </w:pPr>
      <w:r w:rsidRPr="00BE59E1">
        <w:rPr>
          <w:rFonts w:ascii="Calibri" w:hAnsi="Calibri" w:cs="Calibri"/>
          <w:color w:val="C00000"/>
          <w:sz w:val="24"/>
          <w:lang w:val="en-US"/>
        </w:rPr>
        <w:t>The Aspermont Dividend Stock Basket</w:t>
      </w:r>
      <w:r w:rsidR="00186358">
        <w:rPr>
          <w:rFonts w:ascii="Calibri" w:hAnsi="Calibri" w:cs="Calibri"/>
          <w:color w:val="C00000"/>
          <w:sz w:val="24"/>
          <w:lang w:val="en-US"/>
        </w:rPr>
        <w:t xml:space="preserve"> </w:t>
      </w:r>
    </w:p>
    <w:p w14:paraId="221E374F" w14:textId="1B25E1B0" w:rsidR="00825411" w:rsidRPr="003A7ED1" w:rsidRDefault="00825411" w:rsidP="003A7ED1">
      <w:pPr>
        <w:spacing w:line="240" w:lineRule="auto"/>
        <w:jc w:val="both"/>
        <w:rPr>
          <w:rFonts w:ascii="Calibri" w:hAnsi="Calibri" w:cs="Calibri"/>
          <w:sz w:val="16"/>
          <w:szCs w:val="16"/>
          <w:lang w:val="en-US"/>
        </w:rPr>
      </w:pPr>
      <w:r w:rsidRPr="00A1740E">
        <w:rPr>
          <w:rFonts w:ascii="Calibri" w:hAnsi="Calibri" w:cs="Calibri"/>
          <w:sz w:val="16"/>
          <w:szCs w:val="16"/>
          <w:lang w:val="en-US"/>
        </w:rPr>
        <w:t>The Actively Managed (Strategy) Certificate (AMC) linked to the Aspermont Capital Dividend Stock Basket provides investors access to a broadly diversified portfolio of around 30 attractive value stocks. We particularly seek out companies with stable or growing dividends and payout ratios, driven by healthy balance sheet structures and sustainable revenue and earnings growth. While screening for such quantitative elements as margin growth, free cash flow and debt-to-equity ratios, qualitative aspects like management performance and corporate strategy are also included in our selection process. A minimum of 80% of the portfolio will be invested in large cap names with market capitalizations of over EUR 10 billion.</w:t>
      </w:r>
      <w:r w:rsidR="00693B87">
        <w:rPr>
          <w:rFonts w:ascii="Calibri" w:hAnsi="Calibri" w:cs="Calibri"/>
          <w:sz w:val="16"/>
          <w:szCs w:val="16"/>
          <w:lang w:val="en-US"/>
        </w:rPr>
        <w:t xml:space="preserve">  </w:t>
      </w:r>
    </w:p>
    <w:p w14:paraId="3DAED8D4" w14:textId="03B9B905" w:rsidR="00825411" w:rsidRPr="00A1740E" w:rsidRDefault="00825411" w:rsidP="00825411">
      <w:pPr>
        <w:spacing w:after="0" w:line="240" w:lineRule="auto"/>
        <w:jc w:val="both"/>
        <w:rPr>
          <w:b/>
          <w:bCs/>
          <w:color w:val="C00000"/>
          <w:sz w:val="24"/>
          <w:lang w:val="en-US"/>
        </w:rPr>
      </w:pPr>
      <w:r w:rsidRPr="00227BD9">
        <w:rPr>
          <w:b/>
          <w:bCs/>
          <w:color w:val="C00000"/>
          <w:sz w:val="24"/>
          <w:lang w:val="en-US"/>
        </w:rPr>
        <w:t>Manager’s Comment</w:t>
      </w:r>
    </w:p>
    <w:tbl>
      <w:tblPr>
        <w:tblStyle w:val="TableGrid"/>
        <w:tblW w:w="9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563"/>
        <w:gridCol w:w="160"/>
        <w:gridCol w:w="4516"/>
      </w:tblGrid>
      <w:tr w:rsidR="00825411" w:rsidRPr="002F035F" w14:paraId="0ED9987F" w14:textId="77777777">
        <w:trPr>
          <w:trHeight w:val="892"/>
        </w:trPr>
        <w:tc>
          <w:tcPr>
            <w:tcW w:w="4570" w:type="dxa"/>
          </w:tcPr>
          <w:p w14:paraId="6A90520D" w14:textId="35B5180F" w:rsidR="00744CFF" w:rsidRPr="00AE518A" w:rsidRDefault="007E6153" w:rsidP="00523AE9">
            <w:pPr>
              <w:tabs>
                <w:tab w:val="left" w:pos="6073"/>
              </w:tabs>
              <w:suppressAutoHyphens/>
              <w:spacing w:after="120" w:line="240" w:lineRule="auto"/>
              <w:ind w:left="-74"/>
              <w:jc w:val="both"/>
              <w:rPr>
                <w:rFonts w:ascii="Calibri" w:hAnsi="Calibri" w:cs="Calibri"/>
                <w:sz w:val="16"/>
                <w:szCs w:val="16"/>
                <w:lang w:val="en-US"/>
              </w:rPr>
            </w:pPr>
            <w:r w:rsidRPr="00C36AE2">
              <w:rPr>
                <w:rFonts w:ascii="Calibri" w:hAnsi="Calibri" w:cs="Calibri"/>
                <w:sz w:val="16"/>
                <w:szCs w:val="16"/>
                <w:lang w:val="en-US"/>
              </w:rPr>
              <w:t xml:space="preserve">In </w:t>
            </w:r>
            <w:r w:rsidR="00AE518A">
              <w:rPr>
                <w:rFonts w:ascii="Calibri" w:hAnsi="Calibri" w:cs="Calibri"/>
                <w:sz w:val="16"/>
                <w:szCs w:val="16"/>
                <w:lang w:val="en-US"/>
              </w:rPr>
              <w:t>September</w:t>
            </w:r>
            <w:r w:rsidR="00523AE9" w:rsidRPr="00C36AE2">
              <w:rPr>
                <w:rFonts w:ascii="Calibri" w:hAnsi="Calibri" w:cs="Calibri"/>
                <w:sz w:val="16"/>
                <w:szCs w:val="16"/>
                <w:lang w:val="en-US"/>
              </w:rPr>
              <w:t xml:space="preserve">, the Dividend Basket delivered a </w:t>
            </w:r>
            <w:r w:rsidR="00B37569">
              <w:rPr>
                <w:rFonts w:ascii="Calibri" w:hAnsi="Calibri" w:cs="Calibri"/>
                <w:sz w:val="16"/>
                <w:szCs w:val="16"/>
                <w:lang w:val="en-US"/>
              </w:rPr>
              <w:t xml:space="preserve">-1.46% </w:t>
            </w:r>
            <w:r w:rsidR="00523AE9" w:rsidRPr="00C36AE2">
              <w:rPr>
                <w:rFonts w:ascii="Calibri" w:hAnsi="Calibri" w:cs="Calibri"/>
                <w:sz w:val="16"/>
                <w:szCs w:val="16"/>
                <w:lang w:val="en-US"/>
              </w:rPr>
              <w:t>performance</w:t>
            </w:r>
            <w:r w:rsidR="00E12761" w:rsidRPr="00C36AE2">
              <w:rPr>
                <w:rFonts w:ascii="Calibri" w:hAnsi="Calibri" w:cs="Calibri"/>
                <w:sz w:val="16"/>
                <w:szCs w:val="16"/>
                <w:lang w:val="en-US"/>
              </w:rPr>
              <w:t xml:space="preserve">. </w:t>
            </w:r>
            <w:r w:rsidR="006446C3">
              <w:rPr>
                <w:rFonts w:ascii="Calibri" w:hAnsi="Calibri" w:cs="Calibri"/>
                <w:sz w:val="16"/>
                <w:szCs w:val="16"/>
                <w:lang w:val="en-US"/>
              </w:rPr>
              <w:t>The conflict is still ongoing and the and the</w:t>
            </w:r>
            <w:r w:rsidR="006A2FDA" w:rsidRPr="00C36AE2">
              <w:rPr>
                <w:rFonts w:ascii="Calibri" w:hAnsi="Calibri" w:cs="Calibri"/>
                <w:sz w:val="16"/>
                <w:szCs w:val="16"/>
                <w:lang w:val="en-US"/>
              </w:rPr>
              <w:t xml:space="preserve"> major markets </w:t>
            </w:r>
            <w:r w:rsidR="00AD3D14" w:rsidRPr="00C36AE2">
              <w:rPr>
                <w:rFonts w:ascii="Calibri" w:hAnsi="Calibri" w:cs="Calibri"/>
                <w:sz w:val="16"/>
                <w:szCs w:val="16"/>
                <w:lang w:val="en-US"/>
              </w:rPr>
              <w:t>had mixed performance</w:t>
            </w:r>
            <w:r w:rsidR="006A2FDA" w:rsidRPr="00C36AE2">
              <w:rPr>
                <w:rFonts w:ascii="Calibri" w:hAnsi="Calibri" w:cs="Calibri"/>
                <w:sz w:val="16"/>
                <w:szCs w:val="16"/>
                <w:lang w:val="en-US"/>
              </w:rPr>
              <w:t xml:space="preserve">: </w:t>
            </w:r>
            <w:r w:rsidR="00E12761" w:rsidRPr="00C36AE2">
              <w:rPr>
                <w:rFonts w:ascii="Calibri" w:hAnsi="Calibri" w:cs="Calibri"/>
                <w:sz w:val="16"/>
                <w:szCs w:val="16"/>
                <w:lang w:val="en-US"/>
              </w:rPr>
              <w:t xml:space="preserve">DAX </w:t>
            </w:r>
            <w:r w:rsidR="00345E65">
              <w:rPr>
                <w:rFonts w:ascii="Calibri" w:hAnsi="Calibri" w:cs="Calibri"/>
                <w:sz w:val="16"/>
                <w:szCs w:val="16"/>
                <w:lang w:val="en-US"/>
              </w:rPr>
              <w:t>-4</w:t>
            </w:r>
            <w:r w:rsidR="001777FA" w:rsidRPr="00C36AE2">
              <w:rPr>
                <w:rFonts w:ascii="Calibri" w:hAnsi="Calibri" w:cs="Calibri"/>
                <w:sz w:val="16"/>
                <w:szCs w:val="16"/>
                <w:lang w:val="en-US"/>
              </w:rPr>
              <w:t>.</w:t>
            </w:r>
            <w:r w:rsidR="00345E65">
              <w:rPr>
                <w:rFonts w:ascii="Calibri" w:hAnsi="Calibri" w:cs="Calibri"/>
                <w:sz w:val="16"/>
                <w:szCs w:val="16"/>
                <w:lang w:val="en-US"/>
              </w:rPr>
              <w:t>03</w:t>
            </w:r>
            <w:r w:rsidR="00E12761" w:rsidRPr="00C36AE2">
              <w:rPr>
                <w:rFonts w:ascii="Calibri" w:hAnsi="Calibri" w:cs="Calibri"/>
                <w:sz w:val="16"/>
                <w:szCs w:val="16"/>
                <w:lang w:val="en-US"/>
              </w:rPr>
              <w:t>%, Eurostoxx 50</w:t>
            </w:r>
            <w:r w:rsidR="00D27F80" w:rsidRPr="00C36AE2">
              <w:rPr>
                <w:rFonts w:ascii="Calibri" w:hAnsi="Calibri" w:cs="Calibri"/>
                <w:sz w:val="16"/>
                <w:szCs w:val="16"/>
                <w:lang w:val="en-US"/>
              </w:rPr>
              <w:t xml:space="preserve"> </w:t>
            </w:r>
            <w:r w:rsidR="00345E65">
              <w:rPr>
                <w:rFonts w:ascii="Calibri" w:hAnsi="Calibri" w:cs="Calibri"/>
                <w:sz w:val="16"/>
                <w:szCs w:val="16"/>
                <w:lang w:val="en-US"/>
              </w:rPr>
              <w:t>-2.35</w:t>
            </w:r>
            <w:r w:rsidR="00E12761" w:rsidRPr="00C36AE2">
              <w:rPr>
                <w:rFonts w:ascii="Calibri" w:hAnsi="Calibri" w:cs="Calibri"/>
                <w:sz w:val="16"/>
                <w:szCs w:val="16"/>
                <w:lang w:val="en-US"/>
              </w:rPr>
              <w:t>%, SMI</w:t>
            </w:r>
            <w:r w:rsidR="001777FA" w:rsidRPr="00C36AE2">
              <w:rPr>
                <w:rFonts w:ascii="Calibri" w:hAnsi="Calibri" w:cs="Calibri"/>
                <w:sz w:val="16"/>
                <w:szCs w:val="16"/>
                <w:lang w:val="en-US"/>
              </w:rPr>
              <w:t xml:space="preserve"> </w:t>
            </w:r>
            <w:r w:rsidR="006446C3">
              <w:rPr>
                <w:rFonts w:ascii="Calibri" w:hAnsi="Calibri" w:cs="Calibri"/>
                <w:sz w:val="16"/>
                <w:szCs w:val="16"/>
                <w:lang w:val="en-US"/>
              </w:rPr>
              <w:t>-</w:t>
            </w:r>
            <w:r w:rsidR="00345E65">
              <w:rPr>
                <w:rFonts w:ascii="Calibri" w:hAnsi="Calibri" w:cs="Calibri"/>
                <w:sz w:val="16"/>
                <w:szCs w:val="16"/>
                <w:lang w:val="en-US"/>
              </w:rPr>
              <w:t>3</w:t>
            </w:r>
            <w:r w:rsidR="006446C3">
              <w:rPr>
                <w:rFonts w:ascii="Calibri" w:hAnsi="Calibri" w:cs="Calibri"/>
                <w:sz w:val="16"/>
                <w:szCs w:val="16"/>
                <w:lang w:val="en-US"/>
              </w:rPr>
              <w:t>.</w:t>
            </w:r>
            <w:r w:rsidR="00345E65">
              <w:rPr>
                <w:rFonts w:ascii="Calibri" w:hAnsi="Calibri" w:cs="Calibri"/>
                <w:sz w:val="16"/>
                <w:szCs w:val="16"/>
                <w:lang w:val="en-US"/>
              </w:rPr>
              <w:t>19</w:t>
            </w:r>
            <w:r w:rsidR="00E12761" w:rsidRPr="00C36AE2">
              <w:rPr>
                <w:rFonts w:ascii="Calibri" w:hAnsi="Calibri" w:cs="Calibri"/>
                <w:sz w:val="16"/>
                <w:szCs w:val="16"/>
                <w:lang w:val="en-US"/>
              </w:rPr>
              <w:t>%, S&amp;P500</w:t>
            </w:r>
            <w:r w:rsidR="001777FA" w:rsidRPr="00C36AE2">
              <w:rPr>
                <w:rFonts w:ascii="Calibri" w:hAnsi="Calibri" w:cs="Calibri"/>
                <w:sz w:val="16"/>
                <w:szCs w:val="16"/>
                <w:lang w:val="en-US"/>
              </w:rPr>
              <w:t xml:space="preserve"> </w:t>
            </w:r>
            <w:r w:rsidR="00345E65">
              <w:rPr>
                <w:rFonts w:ascii="Calibri" w:hAnsi="Calibri" w:cs="Calibri"/>
                <w:sz w:val="16"/>
                <w:szCs w:val="16"/>
                <w:lang w:val="en-US"/>
              </w:rPr>
              <w:t>-0</w:t>
            </w:r>
            <w:r w:rsidR="006446C3">
              <w:rPr>
                <w:rFonts w:ascii="Calibri" w:hAnsi="Calibri" w:cs="Calibri"/>
                <w:sz w:val="16"/>
                <w:szCs w:val="16"/>
                <w:lang w:val="en-US"/>
              </w:rPr>
              <w:t>.</w:t>
            </w:r>
            <w:r w:rsidR="00345E65">
              <w:rPr>
                <w:rFonts w:ascii="Calibri" w:hAnsi="Calibri" w:cs="Calibri"/>
                <w:sz w:val="16"/>
                <w:szCs w:val="16"/>
                <w:lang w:val="en-US"/>
              </w:rPr>
              <w:t>45</w:t>
            </w:r>
            <w:r w:rsidR="00E12761" w:rsidRPr="00C36AE2">
              <w:rPr>
                <w:rFonts w:ascii="Calibri" w:hAnsi="Calibri" w:cs="Calibri"/>
                <w:sz w:val="16"/>
                <w:szCs w:val="16"/>
                <w:lang w:val="en-US"/>
              </w:rPr>
              <w:t>%</w:t>
            </w:r>
            <w:r w:rsidR="00C36AE2">
              <w:rPr>
                <w:rFonts w:ascii="Calibri" w:hAnsi="Calibri" w:cs="Calibri"/>
                <w:sz w:val="16"/>
                <w:szCs w:val="16"/>
                <w:lang w:val="en-US"/>
              </w:rPr>
              <w:t xml:space="preserve">. </w:t>
            </w:r>
            <w:r w:rsidR="00C6465B" w:rsidRPr="00C36AE2">
              <w:rPr>
                <w:rFonts w:ascii="Calibri" w:hAnsi="Calibri" w:cs="Calibri"/>
                <w:sz w:val="16"/>
                <w:szCs w:val="16"/>
                <w:lang w:val="en-US"/>
              </w:rPr>
              <w:t>In general</w:t>
            </w:r>
            <w:r w:rsidR="00E85880" w:rsidRPr="00C36AE2">
              <w:rPr>
                <w:rFonts w:ascii="Calibri" w:hAnsi="Calibri" w:cs="Calibri"/>
                <w:sz w:val="16"/>
                <w:szCs w:val="16"/>
                <w:lang w:val="en-US"/>
              </w:rPr>
              <w:t>,</w:t>
            </w:r>
            <w:r w:rsidR="00C6465B" w:rsidRPr="00C36AE2">
              <w:rPr>
                <w:rFonts w:ascii="Calibri" w:hAnsi="Calibri" w:cs="Calibri"/>
                <w:sz w:val="16"/>
                <w:szCs w:val="16"/>
                <w:lang w:val="en-US"/>
              </w:rPr>
              <w:t xml:space="preserve"> we </w:t>
            </w:r>
            <w:r w:rsidR="00D27F80" w:rsidRPr="00C36AE2">
              <w:rPr>
                <w:rFonts w:ascii="Calibri" w:hAnsi="Calibri" w:cs="Calibri"/>
                <w:sz w:val="16"/>
                <w:szCs w:val="16"/>
                <w:lang w:val="en-US"/>
              </w:rPr>
              <w:t>continued wit</w:t>
            </w:r>
            <w:r w:rsidR="00284624">
              <w:rPr>
                <w:rFonts w:ascii="Calibri" w:hAnsi="Calibri" w:cs="Calibri"/>
                <w:sz w:val="16"/>
                <w:szCs w:val="16"/>
                <w:lang w:val="en-US"/>
              </w:rPr>
              <w:t>h o</w:t>
            </w:r>
            <w:r w:rsidR="00744CFF" w:rsidRPr="00C36AE2">
              <w:rPr>
                <w:rFonts w:ascii="Calibri" w:hAnsi="Calibri" w:cs="Calibri"/>
                <w:sz w:val="16"/>
                <w:szCs w:val="16"/>
                <w:lang w:val="en-US"/>
              </w:rPr>
              <w:t xml:space="preserve">verall </w:t>
            </w:r>
            <w:r w:rsidR="00C6465B" w:rsidRPr="00C36AE2">
              <w:rPr>
                <w:rFonts w:ascii="Calibri" w:hAnsi="Calibri" w:cs="Calibri"/>
                <w:sz w:val="16"/>
                <w:szCs w:val="16"/>
                <w:lang w:val="en-US"/>
              </w:rPr>
              <w:t xml:space="preserve">USD </w:t>
            </w:r>
            <w:r w:rsidR="00E769A2" w:rsidRPr="00C36AE2">
              <w:rPr>
                <w:rFonts w:ascii="Calibri" w:hAnsi="Calibri" w:cs="Calibri"/>
                <w:sz w:val="16"/>
                <w:szCs w:val="16"/>
                <w:lang w:val="en-US"/>
              </w:rPr>
              <w:t>exposure of</w:t>
            </w:r>
            <w:r w:rsidR="00C6465B" w:rsidRPr="00C36AE2">
              <w:rPr>
                <w:rFonts w:ascii="Calibri" w:hAnsi="Calibri" w:cs="Calibri"/>
                <w:sz w:val="16"/>
                <w:szCs w:val="16"/>
                <w:lang w:val="en-US"/>
              </w:rPr>
              <w:t xml:space="preserve"> </w:t>
            </w:r>
            <w:r w:rsidR="00FA316A" w:rsidRPr="00C36AE2">
              <w:rPr>
                <w:rFonts w:ascii="Calibri" w:hAnsi="Calibri" w:cs="Calibri"/>
                <w:sz w:val="16"/>
                <w:szCs w:val="16"/>
                <w:lang w:val="en-US"/>
              </w:rPr>
              <w:t xml:space="preserve">around </w:t>
            </w:r>
            <w:r w:rsidR="006446C3">
              <w:rPr>
                <w:rFonts w:ascii="Calibri" w:hAnsi="Calibri" w:cs="Calibri"/>
                <w:sz w:val="16"/>
                <w:szCs w:val="16"/>
                <w:lang w:val="en-US"/>
              </w:rPr>
              <w:t>18</w:t>
            </w:r>
            <w:r w:rsidR="00744CFF" w:rsidRPr="00C36AE2">
              <w:rPr>
                <w:rFonts w:ascii="Calibri" w:hAnsi="Calibri" w:cs="Calibri"/>
                <w:sz w:val="16"/>
                <w:szCs w:val="16"/>
                <w:lang w:val="en-US"/>
              </w:rPr>
              <w:t xml:space="preserve">%. The USD has been weak in </w:t>
            </w:r>
            <w:r w:rsidR="00693B87" w:rsidRPr="00C36AE2">
              <w:rPr>
                <w:rFonts w:ascii="Calibri" w:hAnsi="Calibri" w:cs="Calibri"/>
                <w:sz w:val="16"/>
                <w:szCs w:val="16"/>
                <w:lang w:val="en-US"/>
              </w:rPr>
              <w:t xml:space="preserve">the past months </w:t>
            </w:r>
            <w:r w:rsidR="00E769A2" w:rsidRPr="00C36AE2">
              <w:rPr>
                <w:rFonts w:ascii="Calibri" w:hAnsi="Calibri" w:cs="Calibri"/>
                <w:sz w:val="16"/>
                <w:szCs w:val="16"/>
                <w:lang w:val="en-US"/>
              </w:rPr>
              <w:t>and in</w:t>
            </w:r>
            <w:r w:rsidR="00693B87" w:rsidRPr="00C36AE2">
              <w:rPr>
                <w:rFonts w:ascii="Calibri" w:hAnsi="Calibri" w:cs="Calibri"/>
                <w:sz w:val="16"/>
                <w:szCs w:val="16"/>
                <w:lang w:val="en-US"/>
              </w:rPr>
              <w:t xml:space="preserve"> </w:t>
            </w:r>
            <w:r w:rsidR="006446C3" w:rsidRPr="0072171E">
              <w:rPr>
                <w:rFonts w:ascii="Calibri" w:hAnsi="Calibri" w:cs="Calibri"/>
                <w:sz w:val="16"/>
                <w:szCs w:val="16"/>
                <w:lang w:val="en-US"/>
              </w:rPr>
              <w:t>August</w:t>
            </w:r>
            <w:r w:rsidR="001777FA" w:rsidRPr="0072171E">
              <w:rPr>
                <w:rFonts w:ascii="Calibri" w:hAnsi="Calibri" w:cs="Calibri"/>
                <w:sz w:val="16"/>
                <w:szCs w:val="16"/>
                <w:lang w:val="en-US"/>
              </w:rPr>
              <w:t xml:space="preserve"> it</w:t>
            </w:r>
            <w:r w:rsidR="00345E65">
              <w:rPr>
                <w:rFonts w:ascii="Calibri" w:hAnsi="Calibri" w:cs="Calibri"/>
                <w:sz w:val="16"/>
                <w:szCs w:val="16"/>
                <w:lang w:val="en-US"/>
              </w:rPr>
              <w:t xml:space="preserve"> </w:t>
            </w:r>
            <w:r w:rsidR="00345E65" w:rsidRPr="00AE518A">
              <w:rPr>
                <w:rFonts w:ascii="Calibri" w:hAnsi="Calibri" w:cs="Calibri"/>
                <w:sz w:val="16"/>
                <w:szCs w:val="16"/>
                <w:lang w:val="en-US"/>
              </w:rPr>
              <w:t>strengthened</w:t>
            </w:r>
            <w:r w:rsidR="001777FA" w:rsidRPr="00AE518A">
              <w:rPr>
                <w:rFonts w:ascii="Calibri" w:hAnsi="Calibri" w:cs="Calibri"/>
                <w:sz w:val="16"/>
                <w:szCs w:val="16"/>
                <w:lang w:val="en-US"/>
              </w:rPr>
              <w:t xml:space="preserve"> </w:t>
            </w:r>
            <w:r w:rsidR="006B4BC4" w:rsidRPr="00AE518A">
              <w:rPr>
                <w:rFonts w:ascii="Calibri" w:hAnsi="Calibri" w:cs="Calibri"/>
                <w:sz w:val="16"/>
                <w:szCs w:val="16"/>
                <w:lang w:val="en-US"/>
              </w:rPr>
              <w:t xml:space="preserve">against </w:t>
            </w:r>
            <w:r w:rsidR="00693B87" w:rsidRPr="00AE518A">
              <w:rPr>
                <w:rFonts w:ascii="Calibri" w:hAnsi="Calibri" w:cs="Calibri"/>
                <w:sz w:val="16"/>
                <w:szCs w:val="16"/>
                <w:lang w:val="en-US"/>
              </w:rPr>
              <w:t>the EUR</w:t>
            </w:r>
            <w:r w:rsidR="00FA316A" w:rsidRPr="00AE518A">
              <w:rPr>
                <w:rFonts w:ascii="Calibri" w:hAnsi="Calibri" w:cs="Calibri"/>
                <w:sz w:val="16"/>
                <w:szCs w:val="16"/>
                <w:lang w:val="en-US"/>
              </w:rPr>
              <w:t xml:space="preserve"> with </w:t>
            </w:r>
            <w:r w:rsidR="00345E65" w:rsidRPr="00AE518A">
              <w:rPr>
                <w:rFonts w:ascii="Calibri" w:hAnsi="Calibri" w:cs="Calibri"/>
                <w:sz w:val="16"/>
                <w:szCs w:val="16"/>
                <w:lang w:val="en-US"/>
              </w:rPr>
              <w:t>+2.45</w:t>
            </w:r>
            <w:r w:rsidR="00FA316A" w:rsidRPr="00AE518A">
              <w:rPr>
                <w:rFonts w:ascii="Calibri" w:hAnsi="Calibri" w:cs="Calibri"/>
                <w:sz w:val="16"/>
                <w:szCs w:val="16"/>
                <w:lang w:val="en-US"/>
              </w:rPr>
              <w:t>%</w:t>
            </w:r>
            <w:r w:rsidR="006B4BC4" w:rsidRPr="00AE518A">
              <w:rPr>
                <w:rFonts w:ascii="Calibri" w:hAnsi="Calibri" w:cs="Calibri"/>
                <w:sz w:val="16"/>
                <w:szCs w:val="16"/>
                <w:lang w:val="en-US"/>
              </w:rPr>
              <w:t xml:space="preserve">. </w:t>
            </w:r>
          </w:p>
          <w:p w14:paraId="138C85E4" w14:textId="01A57E7B" w:rsidR="00284624" w:rsidRPr="00AE518A" w:rsidRDefault="00284624" w:rsidP="00284624">
            <w:pPr>
              <w:tabs>
                <w:tab w:val="left" w:pos="6073"/>
              </w:tabs>
              <w:suppressAutoHyphens/>
              <w:spacing w:after="0" w:line="240" w:lineRule="auto"/>
              <w:ind w:left="-74"/>
              <w:jc w:val="both"/>
              <w:rPr>
                <w:rFonts w:ascii="Calibri" w:hAnsi="Calibri" w:cs="Calibri"/>
                <w:sz w:val="16"/>
                <w:szCs w:val="16"/>
                <w:lang w:val="en-GB"/>
              </w:rPr>
            </w:pPr>
            <w:r w:rsidRPr="00AE518A">
              <w:rPr>
                <w:rFonts w:ascii="Calibri" w:hAnsi="Calibri" w:cs="Calibri"/>
                <w:sz w:val="16"/>
                <w:szCs w:val="16"/>
                <w:lang w:val="en-GB"/>
              </w:rPr>
              <w:t xml:space="preserve">Technology-related holdings provided some of the strongest positive contributions. VAT Group </w:t>
            </w:r>
            <w:r w:rsidR="00AE518A" w:rsidRPr="00AE518A">
              <w:rPr>
                <w:rFonts w:ascii="Calibri" w:hAnsi="Calibri" w:cs="Calibri"/>
                <w:sz w:val="16"/>
                <w:szCs w:val="16"/>
                <w:lang w:val="en-GB"/>
              </w:rPr>
              <w:t xml:space="preserve">(2.7% position) </w:t>
            </w:r>
            <w:r w:rsidRPr="00AE518A">
              <w:rPr>
                <w:rFonts w:ascii="Calibri" w:hAnsi="Calibri" w:cs="Calibri"/>
                <w:sz w:val="16"/>
                <w:szCs w:val="16"/>
                <w:lang w:val="en-GB"/>
              </w:rPr>
              <w:t>gained +12.31% and contributed +0.30%,</w:t>
            </w:r>
            <w:r w:rsidR="00AE518A" w:rsidRPr="00AE518A">
              <w:rPr>
                <w:rFonts w:ascii="Calibri" w:hAnsi="Calibri" w:cs="Calibri"/>
                <w:sz w:val="16"/>
                <w:szCs w:val="16"/>
                <w:lang w:val="en-GB"/>
              </w:rPr>
              <w:t xml:space="preserve"> this was supported by strong AI-driven wafer-fab investment and a record order backlog for the company. </w:t>
            </w:r>
            <w:r w:rsidRPr="00AE518A">
              <w:rPr>
                <w:rFonts w:ascii="Calibri" w:hAnsi="Calibri" w:cs="Calibri"/>
                <w:sz w:val="16"/>
                <w:szCs w:val="16"/>
                <w:lang w:val="en-GB"/>
              </w:rPr>
              <w:t>ASML</w:t>
            </w:r>
            <w:r w:rsidR="00AE518A" w:rsidRPr="00AE518A">
              <w:rPr>
                <w:rFonts w:ascii="Calibri" w:hAnsi="Calibri" w:cs="Calibri"/>
                <w:sz w:val="16"/>
                <w:szCs w:val="16"/>
                <w:lang w:val="en-GB"/>
              </w:rPr>
              <w:t xml:space="preserve"> (2.7% position)</w:t>
            </w:r>
            <w:r w:rsidRPr="00AE518A">
              <w:rPr>
                <w:rFonts w:ascii="Calibri" w:hAnsi="Calibri" w:cs="Calibri"/>
                <w:sz w:val="16"/>
                <w:szCs w:val="16"/>
                <w:lang w:val="en-GB"/>
              </w:rPr>
              <w:t xml:space="preserve"> rose +9.90% and added +0.24%</w:t>
            </w:r>
            <w:r w:rsidR="00AE518A" w:rsidRPr="00AE518A">
              <w:rPr>
                <w:rFonts w:ascii="Calibri" w:hAnsi="Calibri" w:cs="Calibri"/>
                <w:sz w:val="16"/>
                <w:szCs w:val="16"/>
                <w:lang w:val="en-GB"/>
              </w:rPr>
              <w:t xml:space="preserve"> also driven by AI, in their case a strong rebound for AI-driven chip demand</w:t>
            </w:r>
            <w:r w:rsidRPr="00AE518A">
              <w:rPr>
                <w:rFonts w:ascii="Calibri" w:hAnsi="Calibri" w:cs="Calibri"/>
                <w:sz w:val="16"/>
                <w:szCs w:val="16"/>
                <w:lang w:val="en-GB"/>
              </w:rPr>
              <w:t xml:space="preserve">. Microsoft </w:t>
            </w:r>
            <w:r w:rsidR="00AE518A" w:rsidRPr="00AE518A">
              <w:rPr>
                <w:rFonts w:ascii="Calibri" w:hAnsi="Calibri" w:cs="Calibri"/>
                <w:sz w:val="16"/>
                <w:szCs w:val="16"/>
                <w:lang w:val="en-GB"/>
              </w:rPr>
              <w:t xml:space="preserve">(3.5% position) </w:t>
            </w:r>
            <w:r w:rsidRPr="00AE518A">
              <w:rPr>
                <w:rFonts w:ascii="Calibri" w:hAnsi="Calibri" w:cs="Calibri"/>
                <w:sz w:val="16"/>
                <w:szCs w:val="16"/>
                <w:lang w:val="en-GB"/>
              </w:rPr>
              <w:t>gained +3.31% and contributed +0.11%</w:t>
            </w:r>
            <w:r w:rsidR="00AE518A" w:rsidRPr="00AE518A">
              <w:rPr>
                <w:rFonts w:ascii="Calibri" w:hAnsi="Calibri" w:cs="Calibri"/>
                <w:sz w:val="16"/>
                <w:szCs w:val="16"/>
                <w:lang w:val="en-GB"/>
              </w:rPr>
              <w:t xml:space="preserve"> with continued enthusiasm for AI and Azure growth; they continue to </w:t>
            </w:r>
            <w:proofErr w:type="gramStart"/>
            <w:r w:rsidR="00AE518A" w:rsidRPr="00AE518A">
              <w:rPr>
                <w:rFonts w:ascii="Calibri" w:hAnsi="Calibri" w:cs="Calibri"/>
                <w:sz w:val="16"/>
                <w:szCs w:val="16"/>
                <w:lang w:val="en-GB"/>
              </w:rPr>
              <w:t>invested</w:t>
            </w:r>
            <w:proofErr w:type="gramEnd"/>
            <w:r w:rsidR="00AE518A" w:rsidRPr="00AE518A">
              <w:rPr>
                <w:rFonts w:ascii="Calibri" w:hAnsi="Calibri" w:cs="Calibri"/>
                <w:sz w:val="16"/>
                <w:szCs w:val="16"/>
                <w:lang w:val="en-GB"/>
              </w:rPr>
              <w:t xml:space="preserve"> heavily in </w:t>
            </w:r>
            <w:proofErr w:type="gramStart"/>
            <w:r w:rsidR="00AE518A" w:rsidRPr="00AE518A">
              <w:rPr>
                <w:rFonts w:ascii="Calibri" w:hAnsi="Calibri" w:cs="Calibri"/>
                <w:sz w:val="16"/>
                <w:szCs w:val="16"/>
                <w:lang w:val="en-GB"/>
              </w:rPr>
              <w:t>data-</w:t>
            </w:r>
            <w:proofErr w:type="spellStart"/>
            <w:r w:rsidR="00AE518A" w:rsidRPr="00AE518A">
              <w:rPr>
                <w:rFonts w:ascii="Calibri" w:hAnsi="Calibri" w:cs="Calibri"/>
                <w:sz w:val="16"/>
                <w:szCs w:val="16"/>
                <w:lang w:val="en-GB"/>
              </w:rPr>
              <w:t>centers</w:t>
            </w:r>
            <w:proofErr w:type="spellEnd"/>
            <w:proofErr w:type="gramEnd"/>
            <w:r w:rsidR="00AE518A" w:rsidRPr="00AE518A">
              <w:rPr>
                <w:rFonts w:ascii="Calibri" w:hAnsi="Calibri" w:cs="Calibri"/>
                <w:sz w:val="16"/>
                <w:szCs w:val="16"/>
                <w:lang w:val="en-GB"/>
              </w:rPr>
              <w:t xml:space="preserve"> and their Copilot expansion. </w:t>
            </w:r>
            <w:r w:rsidRPr="00AE518A">
              <w:rPr>
                <w:rFonts w:ascii="Calibri" w:hAnsi="Calibri" w:cs="Calibri"/>
                <w:sz w:val="16"/>
                <w:szCs w:val="16"/>
                <w:lang w:val="en-GB"/>
              </w:rPr>
              <w:t>Nokia</w:t>
            </w:r>
            <w:r w:rsidR="00AE518A" w:rsidRPr="00AE518A">
              <w:rPr>
                <w:rFonts w:ascii="Calibri" w:hAnsi="Calibri" w:cs="Calibri"/>
                <w:sz w:val="16"/>
                <w:szCs w:val="16"/>
                <w:lang w:val="en-GB"/>
              </w:rPr>
              <w:t xml:space="preserve"> (2.7% position)</w:t>
            </w:r>
            <w:r w:rsidRPr="00AE518A">
              <w:rPr>
                <w:rFonts w:ascii="Calibri" w:hAnsi="Calibri" w:cs="Calibri"/>
                <w:sz w:val="16"/>
                <w:szCs w:val="16"/>
                <w:lang w:val="en-GB"/>
              </w:rPr>
              <w:t xml:space="preserve"> rose +3.26% and added +0.08%</w:t>
            </w:r>
            <w:r w:rsidR="00AE518A" w:rsidRPr="00AE518A">
              <w:rPr>
                <w:rFonts w:ascii="Calibri" w:hAnsi="Calibri" w:cs="Calibri"/>
                <w:sz w:val="16"/>
                <w:szCs w:val="16"/>
                <w:lang w:val="en-GB"/>
              </w:rPr>
              <w:t xml:space="preserve"> profited from the expanded Microsoft partnership and continues to benefit from strong AI and cloud enthusiasm in the markets. </w:t>
            </w:r>
            <w:r w:rsidRPr="00AE518A">
              <w:rPr>
                <w:rFonts w:ascii="Calibri" w:hAnsi="Calibri" w:cs="Calibri"/>
                <w:sz w:val="16"/>
                <w:szCs w:val="16"/>
                <w:lang w:val="en-GB"/>
              </w:rPr>
              <w:t xml:space="preserve">Among the </w:t>
            </w:r>
            <w:r w:rsidR="00AE518A" w:rsidRPr="00AE518A">
              <w:rPr>
                <w:rFonts w:ascii="Calibri" w:hAnsi="Calibri" w:cs="Calibri"/>
                <w:sz w:val="16"/>
                <w:szCs w:val="16"/>
                <w:lang w:val="en-GB"/>
              </w:rPr>
              <w:t xml:space="preserve">larger 5% </w:t>
            </w:r>
            <w:r w:rsidRPr="00AE518A">
              <w:rPr>
                <w:rFonts w:ascii="Calibri" w:hAnsi="Calibri" w:cs="Calibri"/>
                <w:sz w:val="16"/>
                <w:szCs w:val="16"/>
                <w:lang w:val="en-GB"/>
              </w:rPr>
              <w:t xml:space="preserve">positions, Apple </w:t>
            </w:r>
            <w:r w:rsidR="00AE518A" w:rsidRPr="00AE518A">
              <w:rPr>
                <w:rFonts w:ascii="Calibri" w:hAnsi="Calibri" w:cs="Calibri"/>
                <w:sz w:val="16"/>
                <w:szCs w:val="16"/>
                <w:lang w:val="en-GB"/>
              </w:rPr>
              <w:t xml:space="preserve">(5.0% position) </w:t>
            </w:r>
            <w:r w:rsidRPr="00AE518A">
              <w:rPr>
                <w:rFonts w:ascii="Calibri" w:hAnsi="Calibri" w:cs="Calibri"/>
                <w:sz w:val="16"/>
                <w:szCs w:val="16"/>
                <w:lang w:val="en-GB"/>
              </w:rPr>
              <w:t>was the strongest performer, gaining +7.81% and contributing +0.36%</w:t>
            </w:r>
            <w:r w:rsidR="00AE518A" w:rsidRPr="00AE518A">
              <w:rPr>
                <w:rFonts w:ascii="Calibri" w:hAnsi="Calibri" w:cs="Calibri"/>
                <w:sz w:val="16"/>
                <w:szCs w:val="16"/>
                <w:lang w:val="en-GB"/>
              </w:rPr>
              <w:t xml:space="preserve"> with the </w:t>
            </w:r>
            <w:proofErr w:type="spellStart"/>
            <w:r w:rsidR="00AE518A" w:rsidRPr="00AE518A">
              <w:rPr>
                <w:rFonts w:ascii="Calibri" w:hAnsi="Calibri" w:cs="Calibri"/>
                <w:sz w:val="16"/>
                <w:szCs w:val="16"/>
                <w:lang w:val="en-GB"/>
              </w:rPr>
              <w:t>announvement</w:t>
            </w:r>
            <w:proofErr w:type="spellEnd"/>
            <w:r w:rsidR="00AE518A" w:rsidRPr="00AE518A">
              <w:rPr>
                <w:rFonts w:ascii="Calibri" w:hAnsi="Calibri" w:cs="Calibri"/>
                <w:sz w:val="16"/>
                <w:szCs w:val="16"/>
                <w:lang w:val="en-GB"/>
              </w:rPr>
              <w:t xml:space="preserve"> of their Siri AI and iOS 27 rollout that sparked renewed confidence in Apple Intelligence. </w:t>
            </w:r>
            <w:r w:rsidRPr="00AE518A">
              <w:rPr>
                <w:rFonts w:ascii="Calibri" w:hAnsi="Calibri" w:cs="Calibri"/>
                <w:sz w:val="16"/>
                <w:szCs w:val="16"/>
                <w:lang w:val="en-GB"/>
              </w:rPr>
              <w:t xml:space="preserve">PKO Bank Polski </w:t>
            </w:r>
            <w:r w:rsidR="00AE518A" w:rsidRPr="00AE518A">
              <w:rPr>
                <w:rFonts w:ascii="Calibri" w:hAnsi="Calibri" w:cs="Calibri"/>
                <w:sz w:val="16"/>
                <w:szCs w:val="16"/>
                <w:lang w:val="en-GB"/>
              </w:rPr>
              <w:t xml:space="preserve">(5.1% position) </w:t>
            </w:r>
            <w:r w:rsidRPr="00AE518A">
              <w:rPr>
                <w:rFonts w:ascii="Calibri" w:hAnsi="Calibri" w:cs="Calibri"/>
                <w:sz w:val="16"/>
                <w:szCs w:val="16"/>
                <w:lang w:val="en-GB"/>
              </w:rPr>
              <w:t xml:space="preserve">gained +1.89% and added +0.09%. </w:t>
            </w:r>
          </w:p>
          <w:p w14:paraId="08378E6F" w14:textId="77777777" w:rsidR="00284624" w:rsidRPr="00AE518A" w:rsidRDefault="00284624" w:rsidP="00284624">
            <w:pPr>
              <w:tabs>
                <w:tab w:val="left" w:pos="6073"/>
              </w:tabs>
              <w:suppressAutoHyphens/>
              <w:spacing w:after="0" w:line="240" w:lineRule="auto"/>
              <w:ind w:left="-74"/>
              <w:jc w:val="both"/>
              <w:rPr>
                <w:rFonts w:ascii="Calibri" w:hAnsi="Calibri" w:cs="Calibri"/>
                <w:sz w:val="16"/>
                <w:szCs w:val="16"/>
                <w:lang w:val="en-GB"/>
              </w:rPr>
            </w:pPr>
          </w:p>
          <w:p w14:paraId="10F9463C" w14:textId="1CB8237B" w:rsidR="00284624" w:rsidRPr="00AE518A" w:rsidRDefault="00284624" w:rsidP="00284624">
            <w:pPr>
              <w:tabs>
                <w:tab w:val="left" w:pos="6073"/>
              </w:tabs>
              <w:suppressAutoHyphens/>
              <w:spacing w:after="0" w:line="240" w:lineRule="auto"/>
              <w:ind w:left="-74"/>
              <w:jc w:val="both"/>
              <w:rPr>
                <w:rFonts w:ascii="Calibri" w:hAnsi="Calibri" w:cs="Calibri"/>
                <w:sz w:val="16"/>
                <w:szCs w:val="16"/>
                <w:lang w:val="en-GB"/>
              </w:rPr>
            </w:pPr>
            <w:r w:rsidRPr="00AE518A">
              <w:rPr>
                <w:rFonts w:ascii="Calibri" w:hAnsi="Calibri" w:cs="Calibri"/>
                <w:sz w:val="16"/>
                <w:szCs w:val="16"/>
                <w:lang w:val="en-GB"/>
              </w:rPr>
              <w:t>On the negative side, Hermès was the largest detractor, falling -16.90% and subtracting -0.50%, amid our concerns around weak Chinese consumer demand. Inditex declined -7.21% and detracted -0.38%, while Morgan Stanley fell -9.91% and contributed -0.29%. Among the other approximately 5% positions, Enel (-4.46%), Siemens (-3.62%), ABB (-3.44%) and Banco Santander (-2.67%) detracted -0.23%, -0.19%, -0.17% and -0.13%, respectively. Anheuser-Busch InBev declined -4.98% and detracted -0.15%.</w:t>
            </w:r>
          </w:p>
          <w:p w14:paraId="343CB900" w14:textId="77777777" w:rsidR="00284624" w:rsidRPr="00AE518A" w:rsidRDefault="00284624" w:rsidP="00284624">
            <w:pPr>
              <w:tabs>
                <w:tab w:val="left" w:pos="6073"/>
              </w:tabs>
              <w:suppressAutoHyphens/>
              <w:spacing w:after="0" w:line="240" w:lineRule="auto"/>
              <w:ind w:left="-74"/>
              <w:jc w:val="both"/>
              <w:rPr>
                <w:rFonts w:ascii="Calibri" w:hAnsi="Calibri" w:cs="Calibri"/>
                <w:sz w:val="16"/>
                <w:szCs w:val="16"/>
                <w:lang w:val="en-GB"/>
              </w:rPr>
            </w:pPr>
          </w:p>
          <w:p w14:paraId="46082D6F" w14:textId="18920E51" w:rsidR="00284624" w:rsidRPr="00284624" w:rsidRDefault="00284624" w:rsidP="00284624">
            <w:pPr>
              <w:tabs>
                <w:tab w:val="left" w:pos="6073"/>
              </w:tabs>
              <w:suppressAutoHyphens/>
              <w:spacing w:after="0" w:line="240" w:lineRule="auto"/>
              <w:ind w:left="-74"/>
              <w:jc w:val="both"/>
              <w:rPr>
                <w:rFonts w:ascii="Calibri" w:hAnsi="Calibri" w:cs="Calibri"/>
                <w:sz w:val="16"/>
                <w:szCs w:val="16"/>
                <w:lang w:val="en-GB"/>
              </w:rPr>
            </w:pPr>
            <w:r w:rsidRPr="00AE518A">
              <w:rPr>
                <w:rFonts w:ascii="Calibri" w:hAnsi="Calibri" w:cs="Calibri"/>
                <w:sz w:val="16"/>
                <w:szCs w:val="16"/>
                <w:lang w:val="en-GB"/>
              </w:rPr>
              <w:t>Portfolio activity remained active during the month. We increased Schneider Electric, ABB, PKO Bank Polski, Enel and Linde to approximately 5%, while EMS-Chemie was increased to 2.5%. At the same time, Nestlé was reduced to 1%, Austrian Post and Bolloré were exited, and Hermès and Anheuser-Busch InBev were reduced to 2.5% and 3%, respectively. Vinci and Veolia were also reduced as we lowered French exposure, while Microsoft and Morgan Stanley were reduced to approximately 2.5% to take profits and lower USD exposure. Apple and Banco Santander were brought back toward 5% through profit taking. Schneider was increased on the back of solid large-scale projects and cash generation, while EMS-Chemie continued to show pricing power and margin expansion.</w:t>
            </w:r>
          </w:p>
          <w:p w14:paraId="44886D63" w14:textId="253F96E5" w:rsidR="00505BE4" w:rsidRPr="004E1943" w:rsidRDefault="00505BE4" w:rsidP="00743CA5">
            <w:pPr>
              <w:tabs>
                <w:tab w:val="left" w:pos="6073"/>
              </w:tabs>
              <w:suppressAutoHyphens/>
              <w:spacing w:after="120" w:line="240" w:lineRule="auto"/>
              <w:ind w:left="-74"/>
              <w:jc w:val="both"/>
              <w:rPr>
                <w:rFonts w:ascii="Calibri" w:hAnsi="Calibri" w:cs="Calibri"/>
                <w:sz w:val="16"/>
                <w:szCs w:val="16"/>
                <w:highlight w:val="yellow"/>
                <w:lang w:val="en-GB"/>
              </w:rPr>
            </w:pPr>
          </w:p>
        </w:tc>
        <w:tc>
          <w:tcPr>
            <w:tcW w:w="147" w:type="dxa"/>
            <w:tcBorders>
              <w:right w:val="single" w:sz="4" w:space="0" w:color="C00000"/>
            </w:tcBorders>
          </w:tcPr>
          <w:p w14:paraId="40D94C1A" w14:textId="650D5869" w:rsidR="00825411" w:rsidRPr="00336A7D" w:rsidRDefault="00825411">
            <w:pPr>
              <w:jc w:val="center"/>
              <w:rPr>
                <w:b/>
                <w:sz w:val="18"/>
                <w:highlight w:val="yellow"/>
                <w:lang w:val="en-US"/>
              </w:rPr>
            </w:pPr>
          </w:p>
        </w:tc>
        <w:tc>
          <w:tcPr>
            <w:tcW w:w="4522" w:type="dxa"/>
            <w:tcBorders>
              <w:top w:val="single" w:sz="4" w:space="0" w:color="C00000"/>
              <w:bottom w:val="single" w:sz="4" w:space="0" w:color="C00000"/>
              <w:right w:val="single" w:sz="4" w:space="0" w:color="C00000"/>
            </w:tcBorders>
          </w:tcPr>
          <w:p w14:paraId="6B4952D1" w14:textId="77777777" w:rsidR="00825411" w:rsidRPr="007F6E5E" w:rsidRDefault="00825411">
            <w:pPr>
              <w:rPr>
                <w:i/>
                <w:sz w:val="12"/>
                <w:szCs w:val="12"/>
                <w:lang w:val="en-US"/>
              </w:rPr>
            </w:pPr>
          </w:p>
          <w:p w14:paraId="76FAFFCD" w14:textId="57372266" w:rsidR="00825411" w:rsidRPr="00B231E7" w:rsidRDefault="00400365" w:rsidP="00981FE5">
            <w:pPr>
              <w:spacing w:after="0"/>
              <w:ind w:left="101"/>
              <w:rPr>
                <w:i/>
                <w:sz w:val="12"/>
                <w:szCs w:val="12"/>
                <w:lang w:val="en-US"/>
              </w:rPr>
            </w:pPr>
            <w:r w:rsidRPr="00400365">
              <w:rPr>
                <w:i/>
                <w:noProof/>
                <w:sz w:val="12"/>
                <w:szCs w:val="12"/>
                <w:lang w:val="en-US"/>
              </w:rPr>
              <w:drawing>
                <wp:inline distT="0" distB="0" distL="0" distR="0" wp14:anchorId="0FD2787D" wp14:editId="67F0E10C">
                  <wp:extent cx="2602486" cy="2609215"/>
                  <wp:effectExtent l="0" t="0" r="7620" b="635"/>
                  <wp:docPr id="122488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828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884" r="884"/>
                          <a:stretch>
                            <a:fillRect/>
                          </a:stretch>
                        </pic:blipFill>
                        <pic:spPr bwMode="auto">
                          <a:xfrm>
                            <a:off x="0" y="0"/>
                            <a:ext cx="2602486" cy="2609215"/>
                          </a:xfrm>
                          <a:prstGeom prst="rect">
                            <a:avLst/>
                          </a:prstGeom>
                          <a:noFill/>
                          <a:ln>
                            <a:noFill/>
                          </a:ln>
                          <a:extLst>
                            <a:ext uri="{53640926-AAD7-44D8-BBD7-CCE9431645EC}">
                              <a14:shadowObscured xmlns:a14="http://schemas.microsoft.com/office/drawing/2010/main"/>
                            </a:ext>
                          </a:extLst>
                        </pic:spPr>
                      </pic:pic>
                    </a:graphicData>
                  </a:graphic>
                </wp:inline>
              </w:drawing>
            </w:r>
          </w:p>
          <w:p w14:paraId="2A77F94E" w14:textId="20F07E63" w:rsidR="00390A40" w:rsidRDefault="00981FE5" w:rsidP="00726B3B">
            <w:pPr>
              <w:ind w:left="101" w:firstLine="149"/>
              <w:rPr>
                <w:i/>
                <w:sz w:val="14"/>
                <w:szCs w:val="14"/>
                <w:lang w:val="en-US"/>
              </w:rPr>
            </w:pPr>
            <w:r w:rsidRPr="00981FE5">
              <w:rPr>
                <w:i/>
                <w:sz w:val="14"/>
                <w:szCs w:val="14"/>
                <w:lang w:val="en-US"/>
              </w:rPr>
              <w:t>Current Composition (202</w:t>
            </w:r>
            <w:r w:rsidR="005B0F2F">
              <w:rPr>
                <w:i/>
                <w:sz w:val="14"/>
                <w:szCs w:val="14"/>
                <w:lang w:val="en-US"/>
              </w:rPr>
              <w:t>6</w:t>
            </w:r>
            <w:r w:rsidRPr="00981FE5">
              <w:rPr>
                <w:i/>
                <w:sz w:val="14"/>
                <w:szCs w:val="14"/>
                <w:lang w:val="en-US"/>
              </w:rPr>
              <w:t>)</w:t>
            </w:r>
          </w:p>
          <w:p w14:paraId="1D12D5B3" w14:textId="77777777" w:rsidR="00400365" w:rsidRDefault="00400365" w:rsidP="00726B3B">
            <w:pPr>
              <w:ind w:left="101" w:firstLine="149"/>
              <w:rPr>
                <w:i/>
                <w:sz w:val="14"/>
                <w:szCs w:val="14"/>
                <w:lang w:val="en-US"/>
              </w:rPr>
            </w:pPr>
          </w:p>
          <w:p w14:paraId="726B850E" w14:textId="45EDEFBB" w:rsidR="00825411" w:rsidRDefault="002D3B5D" w:rsidP="00981FE5">
            <w:pPr>
              <w:spacing w:after="0"/>
              <w:ind w:left="101"/>
              <w:rPr>
                <w:i/>
                <w:sz w:val="14"/>
                <w:szCs w:val="14"/>
                <w:lang w:val="en-US"/>
              </w:rPr>
            </w:pPr>
            <w:r w:rsidRPr="002D3B5D">
              <w:rPr>
                <w:i/>
                <w:noProof/>
                <w:sz w:val="14"/>
                <w:szCs w:val="14"/>
                <w:lang w:val="en-US"/>
              </w:rPr>
              <w:drawing>
                <wp:inline distT="0" distB="0" distL="0" distR="0" wp14:anchorId="4D72090B" wp14:editId="02E030F6">
                  <wp:extent cx="2609088" cy="1565453"/>
                  <wp:effectExtent l="0" t="0" r="1270" b="0"/>
                  <wp:docPr id="420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16437" name="Picture 1"/>
                          <pic:cNvPicPr>
                            <a:picLocks noChangeAspect="1" noChangeArrowheads="1"/>
                          </pic:cNvPicPr>
                        </pic:nvPicPr>
                        <pic:blipFill>
                          <a:blip r:embed="rId8">
                            <a:extLst>
                              <a:ext uri="{96DAC541-7B7A-43D3-8B79-37D633B846F1}">
                                <asvg:svgBlip xmlns:asvg="http://schemas.microsoft.com/office/drawing/2016/SVG/main" r:embed="rId9"/>
                              </a:ext>
                            </a:extLst>
                          </a:blip>
                          <a:stretch>
                            <a:fillRect/>
                          </a:stretch>
                        </pic:blipFill>
                        <pic:spPr bwMode="auto">
                          <a:xfrm>
                            <a:off x="0" y="0"/>
                            <a:ext cx="2612303" cy="1567382"/>
                          </a:xfrm>
                          <a:prstGeom prst="rect">
                            <a:avLst/>
                          </a:prstGeom>
                        </pic:spPr>
                      </pic:pic>
                    </a:graphicData>
                  </a:graphic>
                </wp:inline>
              </w:drawing>
            </w:r>
          </w:p>
          <w:p w14:paraId="21DC6D5D" w14:textId="6FE1809A" w:rsidR="00825411" w:rsidRDefault="00825411" w:rsidP="00726B3B">
            <w:pPr>
              <w:spacing w:after="0"/>
              <w:ind w:left="101" w:firstLine="239"/>
              <w:rPr>
                <w:i/>
                <w:sz w:val="14"/>
                <w:szCs w:val="14"/>
                <w:lang w:val="en-US"/>
              </w:rPr>
            </w:pPr>
            <w:r>
              <w:rPr>
                <w:i/>
                <w:sz w:val="14"/>
                <w:szCs w:val="14"/>
                <w:lang w:val="en-US"/>
              </w:rPr>
              <w:t>Perfo</w:t>
            </w:r>
            <w:r w:rsidR="009A0CDF">
              <w:rPr>
                <w:i/>
                <w:sz w:val="14"/>
                <w:szCs w:val="14"/>
                <w:lang w:val="en-US"/>
              </w:rPr>
              <w:t>r</w:t>
            </w:r>
            <w:r>
              <w:rPr>
                <w:i/>
                <w:sz w:val="14"/>
                <w:szCs w:val="14"/>
                <w:lang w:val="en-US"/>
              </w:rPr>
              <w:t xml:space="preserve">mance </w:t>
            </w:r>
            <w:r w:rsidR="005B0F2F">
              <w:rPr>
                <w:i/>
                <w:sz w:val="14"/>
                <w:szCs w:val="14"/>
                <w:lang w:val="en-US"/>
              </w:rPr>
              <w:t>12m</w:t>
            </w:r>
            <w:r>
              <w:rPr>
                <w:i/>
                <w:sz w:val="14"/>
                <w:szCs w:val="14"/>
                <w:lang w:val="en-US"/>
              </w:rPr>
              <w:t>: Source Bloomberg</w:t>
            </w:r>
          </w:p>
          <w:p w14:paraId="205C4541" w14:textId="5FF603FE" w:rsidR="00825411" w:rsidRPr="00CC2DDF" w:rsidRDefault="00825411" w:rsidP="006E41DC">
            <w:pPr>
              <w:spacing w:after="0"/>
              <w:rPr>
                <w:i/>
                <w:sz w:val="14"/>
                <w:szCs w:val="14"/>
                <w:lang w:val="en-US"/>
              </w:rPr>
            </w:pPr>
          </w:p>
        </w:tc>
      </w:tr>
    </w:tbl>
    <w:p w14:paraId="4CBBF75C" w14:textId="77777777" w:rsidR="00825411" w:rsidRPr="00566A59" w:rsidRDefault="00825411" w:rsidP="00825411">
      <w:pPr>
        <w:pStyle w:val="Heading1"/>
        <w:spacing w:before="0"/>
        <w:rPr>
          <w:rFonts w:asciiTheme="minorHAnsi" w:hAnsiTheme="minorHAnsi"/>
          <w:color w:val="C00000"/>
          <w:sz w:val="24"/>
          <w:lang w:val="en-US"/>
        </w:rPr>
      </w:pPr>
      <w:r w:rsidRPr="00394C4C">
        <w:rPr>
          <w:rFonts w:asciiTheme="minorHAnsi" w:hAnsiTheme="minorHAnsi"/>
          <w:color w:val="C00000"/>
          <w:sz w:val="24"/>
          <w:lang w:val="en-US"/>
        </w:rPr>
        <w:lastRenderedPageBreak/>
        <w:t>Return</w:t>
      </w:r>
    </w:p>
    <w:tbl>
      <w:tblPr>
        <w:tblStyle w:val="TableGrid"/>
        <w:tblW w:w="1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9677"/>
        <w:gridCol w:w="10318"/>
      </w:tblGrid>
      <w:tr w:rsidR="00825411" w:rsidRPr="001153A8" w14:paraId="29C38F3D" w14:textId="77777777" w:rsidTr="00E337E2">
        <w:tc>
          <w:tcPr>
            <w:tcW w:w="9677" w:type="dxa"/>
          </w:tcPr>
          <w:tbl>
            <w:tblPr>
              <w:tblStyle w:val="TableGrid"/>
              <w:tblW w:w="9522" w:type="dxa"/>
              <w:tblLayout w:type="fixed"/>
              <w:tblLook w:val="04A0" w:firstRow="1" w:lastRow="0" w:firstColumn="1" w:lastColumn="0" w:noHBand="0" w:noVBand="1"/>
            </w:tblPr>
            <w:tblGrid>
              <w:gridCol w:w="534"/>
              <w:gridCol w:w="767"/>
              <w:gridCol w:w="660"/>
              <w:gridCol w:w="640"/>
              <w:gridCol w:w="650"/>
              <w:gridCol w:w="650"/>
              <w:gridCol w:w="650"/>
              <w:gridCol w:w="650"/>
              <w:gridCol w:w="650"/>
              <w:gridCol w:w="650"/>
              <w:gridCol w:w="650"/>
              <w:gridCol w:w="801"/>
              <w:gridCol w:w="713"/>
              <w:gridCol w:w="857"/>
            </w:tblGrid>
            <w:tr w:rsidR="00825411" w:rsidRPr="00D70A30" w14:paraId="09794058" w14:textId="77777777">
              <w:trPr>
                <w:trHeight w:val="437"/>
              </w:trPr>
              <w:tc>
                <w:tcPr>
                  <w:tcW w:w="534" w:type="dxa"/>
                  <w:shd w:val="clear" w:color="auto" w:fill="D9D9D9" w:themeFill="background1" w:themeFillShade="D9"/>
                  <w:vAlign w:val="center"/>
                </w:tcPr>
                <w:p w14:paraId="620D593D" w14:textId="77777777" w:rsidR="00825411" w:rsidRPr="00D70A30" w:rsidRDefault="00825411">
                  <w:pPr>
                    <w:pStyle w:val="Heading1"/>
                    <w:spacing w:before="0"/>
                    <w:jc w:val="center"/>
                    <w:rPr>
                      <w:rFonts w:asciiTheme="minorHAnsi" w:hAnsiTheme="minorHAnsi"/>
                      <w:color w:val="auto"/>
                      <w:sz w:val="13"/>
                      <w:szCs w:val="13"/>
                      <w:lang w:val="en-US"/>
                    </w:rPr>
                  </w:pPr>
                </w:p>
              </w:tc>
              <w:tc>
                <w:tcPr>
                  <w:tcW w:w="767" w:type="dxa"/>
                  <w:shd w:val="clear" w:color="auto" w:fill="D9D9D9" w:themeFill="background1" w:themeFillShade="D9"/>
                  <w:vAlign w:val="center"/>
                </w:tcPr>
                <w:p w14:paraId="35256AA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Jan</w:t>
                  </w:r>
                </w:p>
              </w:tc>
              <w:tc>
                <w:tcPr>
                  <w:tcW w:w="660" w:type="dxa"/>
                  <w:shd w:val="clear" w:color="auto" w:fill="D9D9D9" w:themeFill="background1" w:themeFillShade="D9"/>
                  <w:vAlign w:val="center"/>
                </w:tcPr>
                <w:p w14:paraId="777A4FC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Feb</w:t>
                  </w:r>
                </w:p>
              </w:tc>
              <w:tc>
                <w:tcPr>
                  <w:tcW w:w="640" w:type="dxa"/>
                  <w:shd w:val="clear" w:color="auto" w:fill="D9D9D9" w:themeFill="background1" w:themeFillShade="D9"/>
                  <w:vAlign w:val="center"/>
                </w:tcPr>
                <w:p w14:paraId="2A546D53"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Mar</w:t>
                  </w:r>
                </w:p>
              </w:tc>
              <w:tc>
                <w:tcPr>
                  <w:tcW w:w="650" w:type="dxa"/>
                  <w:shd w:val="clear" w:color="auto" w:fill="D9D9D9" w:themeFill="background1" w:themeFillShade="D9"/>
                  <w:vAlign w:val="center"/>
                </w:tcPr>
                <w:p w14:paraId="03F2DAC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Apr</w:t>
                  </w:r>
                </w:p>
              </w:tc>
              <w:tc>
                <w:tcPr>
                  <w:tcW w:w="650" w:type="dxa"/>
                  <w:shd w:val="clear" w:color="auto" w:fill="D9D9D9" w:themeFill="background1" w:themeFillShade="D9"/>
                  <w:vAlign w:val="center"/>
                </w:tcPr>
                <w:p w14:paraId="16BECA2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May</w:t>
                  </w:r>
                </w:p>
              </w:tc>
              <w:tc>
                <w:tcPr>
                  <w:tcW w:w="650" w:type="dxa"/>
                  <w:shd w:val="clear" w:color="auto" w:fill="D9D9D9" w:themeFill="background1" w:themeFillShade="D9"/>
                  <w:vAlign w:val="center"/>
                </w:tcPr>
                <w:p w14:paraId="305ECC55"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Jun</w:t>
                  </w:r>
                </w:p>
              </w:tc>
              <w:tc>
                <w:tcPr>
                  <w:tcW w:w="650" w:type="dxa"/>
                  <w:shd w:val="clear" w:color="auto" w:fill="D9D9D9" w:themeFill="background1" w:themeFillShade="D9"/>
                  <w:vAlign w:val="center"/>
                </w:tcPr>
                <w:p w14:paraId="3FD1A442"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Jul</w:t>
                  </w:r>
                </w:p>
              </w:tc>
              <w:tc>
                <w:tcPr>
                  <w:tcW w:w="650" w:type="dxa"/>
                  <w:shd w:val="clear" w:color="auto" w:fill="D9D9D9" w:themeFill="background1" w:themeFillShade="D9"/>
                  <w:vAlign w:val="center"/>
                </w:tcPr>
                <w:p w14:paraId="6897477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Aug</w:t>
                  </w:r>
                </w:p>
              </w:tc>
              <w:tc>
                <w:tcPr>
                  <w:tcW w:w="650" w:type="dxa"/>
                  <w:shd w:val="clear" w:color="auto" w:fill="D9D9D9" w:themeFill="background1" w:themeFillShade="D9"/>
                  <w:vAlign w:val="center"/>
                </w:tcPr>
                <w:p w14:paraId="0E9DE273"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Sep</w:t>
                  </w:r>
                </w:p>
              </w:tc>
              <w:tc>
                <w:tcPr>
                  <w:tcW w:w="650" w:type="dxa"/>
                  <w:shd w:val="clear" w:color="auto" w:fill="D9D9D9" w:themeFill="background1" w:themeFillShade="D9"/>
                  <w:vAlign w:val="center"/>
                </w:tcPr>
                <w:p w14:paraId="5A05020F"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Oct</w:t>
                  </w:r>
                </w:p>
              </w:tc>
              <w:tc>
                <w:tcPr>
                  <w:tcW w:w="801" w:type="dxa"/>
                  <w:shd w:val="clear" w:color="auto" w:fill="D9D9D9" w:themeFill="background1" w:themeFillShade="D9"/>
                  <w:vAlign w:val="center"/>
                </w:tcPr>
                <w:p w14:paraId="0D2CE0B4"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Nov</w:t>
                  </w:r>
                </w:p>
              </w:tc>
              <w:tc>
                <w:tcPr>
                  <w:tcW w:w="713" w:type="dxa"/>
                  <w:shd w:val="clear" w:color="auto" w:fill="D9D9D9" w:themeFill="background1" w:themeFillShade="D9"/>
                  <w:vAlign w:val="center"/>
                </w:tcPr>
                <w:p w14:paraId="0DB5186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Dec</w:t>
                  </w:r>
                </w:p>
              </w:tc>
              <w:tc>
                <w:tcPr>
                  <w:tcW w:w="857" w:type="dxa"/>
                  <w:shd w:val="clear" w:color="auto" w:fill="D9D9D9" w:themeFill="background1" w:themeFillShade="D9"/>
                  <w:vAlign w:val="center"/>
                </w:tcPr>
                <w:p w14:paraId="77761E67"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YTD</w:t>
                  </w:r>
                </w:p>
              </w:tc>
            </w:tr>
            <w:tr w:rsidR="00825411" w:rsidRPr="00D70A30" w14:paraId="079F822F" w14:textId="77777777">
              <w:trPr>
                <w:trHeight w:val="38"/>
              </w:trPr>
              <w:tc>
                <w:tcPr>
                  <w:tcW w:w="534" w:type="dxa"/>
                  <w:shd w:val="clear" w:color="auto" w:fill="D9D9D9" w:themeFill="background1" w:themeFillShade="D9"/>
                  <w:vAlign w:val="center"/>
                </w:tcPr>
                <w:p w14:paraId="0BA62B3E"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2013</w:t>
                  </w:r>
                </w:p>
              </w:tc>
              <w:tc>
                <w:tcPr>
                  <w:tcW w:w="767" w:type="dxa"/>
                  <w:vAlign w:val="center"/>
                </w:tcPr>
                <w:p w14:paraId="00D590A4"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60" w:type="dxa"/>
                  <w:vAlign w:val="center"/>
                </w:tcPr>
                <w:p w14:paraId="1C1A9003"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40" w:type="dxa"/>
                  <w:vAlign w:val="center"/>
                </w:tcPr>
                <w:p w14:paraId="421391EA"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50" w:type="dxa"/>
                  <w:vAlign w:val="center"/>
                </w:tcPr>
                <w:p w14:paraId="03D1A6A6"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50" w:type="dxa"/>
                  <w:vAlign w:val="center"/>
                </w:tcPr>
                <w:p w14:paraId="1CF2E800"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50" w:type="dxa"/>
                  <w:vAlign w:val="center"/>
                </w:tcPr>
                <w:p w14:paraId="2DBB1C9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-0.45%</w:t>
                  </w:r>
                </w:p>
              </w:tc>
              <w:tc>
                <w:tcPr>
                  <w:tcW w:w="650" w:type="dxa"/>
                  <w:vAlign w:val="center"/>
                </w:tcPr>
                <w:p w14:paraId="7E44CFD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3.76%</w:t>
                  </w:r>
                </w:p>
              </w:tc>
              <w:tc>
                <w:tcPr>
                  <w:tcW w:w="650" w:type="dxa"/>
                  <w:vAlign w:val="center"/>
                </w:tcPr>
                <w:p w14:paraId="30E5E55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-1.26%</w:t>
                  </w:r>
                </w:p>
              </w:tc>
              <w:tc>
                <w:tcPr>
                  <w:tcW w:w="650" w:type="dxa"/>
                  <w:vAlign w:val="center"/>
                </w:tcPr>
                <w:p w14:paraId="7E9BEEAD"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3.13%</w:t>
                  </w:r>
                </w:p>
              </w:tc>
              <w:tc>
                <w:tcPr>
                  <w:tcW w:w="650" w:type="dxa"/>
                  <w:vAlign w:val="center"/>
                </w:tcPr>
                <w:p w14:paraId="3F206C4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2.37%</w:t>
                  </w:r>
                </w:p>
              </w:tc>
              <w:tc>
                <w:tcPr>
                  <w:tcW w:w="801" w:type="dxa"/>
                  <w:vAlign w:val="center"/>
                </w:tcPr>
                <w:p w14:paraId="59E64BA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1.85%</w:t>
                  </w:r>
                </w:p>
              </w:tc>
              <w:tc>
                <w:tcPr>
                  <w:tcW w:w="713" w:type="dxa"/>
                  <w:vAlign w:val="center"/>
                </w:tcPr>
                <w:p w14:paraId="72F08B5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-0.45%</w:t>
                  </w:r>
                </w:p>
              </w:tc>
              <w:tc>
                <w:tcPr>
                  <w:tcW w:w="857" w:type="dxa"/>
                  <w:vAlign w:val="center"/>
                </w:tcPr>
                <w:p w14:paraId="111FAF94"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9.18%</w:t>
                  </w:r>
                </w:p>
              </w:tc>
            </w:tr>
            <w:tr w:rsidR="00825411" w:rsidRPr="00D70A30" w14:paraId="134F5427" w14:textId="77777777">
              <w:trPr>
                <w:trHeight w:val="38"/>
              </w:trPr>
              <w:tc>
                <w:tcPr>
                  <w:tcW w:w="534" w:type="dxa"/>
                  <w:shd w:val="clear" w:color="auto" w:fill="D9D9D9" w:themeFill="background1" w:themeFillShade="D9"/>
                  <w:vAlign w:val="center"/>
                </w:tcPr>
                <w:p w14:paraId="0D51E825"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2014</w:t>
                  </w:r>
                </w:p>
              </w:tc>
              <w:tc>
                <w:tcPr>
                  <w:tcW w:w="767" w:type="dxa"/>
                  <w:vAlign w:val="center"/>
                </w:tcPr>
                <w:p w14:paraId="1A43873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-2.29%</w:t>
                  </w:r>
                </w:p>
              </w:tc>
              <w:tc>
                <w:tcPr>
                  <w:tcW w:w="660" w:type="dxa"/>
                  <w:vAlign w:val="center"/>
                </w:tcPr>
                <w:p w14:paraId="2BA7368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3.09%</w:t>
                  </w:r>
                </w:p>
              </w:tc>
              <w:tc>
                <w:tcPr>
                  <w:tcW w:w="640" w:type="dxa"/>
                  <w:vAlign w:val="center"/>
                </w:tcPr>
                <w:p w14:paraId="48E3A1F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0.73%</w:t>
                  </w:r>
                </w:p>
              </w:tc>
              <w:tc>
                <w:tcPr>
                  <w:tcW w:w="650" w:type="dxa"/>
                  <w:vAlign w:val="center"/>
                </w:tcPr>
                <w:p w14:paraId="5FC8B70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1.53%</w:t>
                  </w:r>
                </w:p>
              </w:tc>
              <w:tc>
                <w:tcPr>
                  <w:tcW w:w="650" w:type="dxa"/>
                  <w:vAlign w:val="center"/>
                </w:tcPr>
                <w:p w14:paraId="32215F0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2.66%</w:t>
                  </w:r>
                </w:p>
              </w:tc>
              <w:tc>
                <w:tcPr>
                  <w:tcW w:w="650" w:type="dxa"/>
                  <w:vAlign w:val="center"/>
                </w:tcPr>
                <w:p w14:paraId="45477C3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0.43%</w:t>
                  </w:r>
                </w:p>
              </w:tc>
              <w:tc>
                <w:tcPr>
                  <w:tcW w:w="650" w:type="dxa"/>
                  <w:vAlign w:val="center"/>
                </w:tcPr>
                <w:p w14:paraId="627425D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-1.12%</w:t>
                  </w:r>
                </w:p>
              </w:tc>
              <w:tc>
                <w:tcPr>
                  <w:tcW w:w="650" w:type="dxa"/>
                  <w:vAlign w:val="center"/>
                </w:tcPr>
                <w:p w14:paraId="1CDB776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1.13%</w:t>
                  </w:r>
                </w:p>
              </w:tc>
              <w:tc>
                <w:tcPr>
                  <w:tcW w:w="650" w:type="dxa"/>
                  <w:vAlign w:val="center"/>
                </w:tcPr>
                <w:p w14:paraId="2A7F7D6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0.95%</w:t>
                  </w:r>
                </w:p>
              </w:tc>
              <w:tc>
                <w:tcPr>
                  <w:tcW w:w="650" w:type="dxa"/>
                  <w:vAlign w:val="center"/>
                </w:tcPr>
                <w:p w14:paraId="77FAEF5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-0.60%</w:t>
                  </w:r>
                </w:p>
              </w:tc>
              <w:tc>
                <w:tcPr>
                  <w:tcW w:w="801" w:type="dxa"/>
                  <w:vAlign w:val="center"/>
                </w:tcPr>
                <w:p w14:paraId="70BC163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6.09%</w:t>
                  </w:r>
                </w:p>
              </w:tc>
              <w:tc>
                <w:tcPr>
                  <w:tcW w:w="713" w:type="dxa"/>
                  <w:vAlign w:val="center"/>
                </w:tcPr>
                <w:p w14:paraId="7AAE59A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-2.26%</w:t>
                  </w:r>
                </w:p>
              </w:tc>
              <w:tc>
                <w:tcPr>
                  <w:tcW w:w="857" w:type="dxa"/>
                  <w:vAlign w:val="center"/>
                </w:tcPr>
                <w:p w14:paraId="0DB27C18"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10.52%</w:t>
                  </w:r>
                </w:p>
              </w:tc>
            </w:tr>
            <w:tr w:rsidR="00825411" w:rsidRPr="00D70A30" w14:paraId="15BC7246" w14:textId="77777777">
              <w:trPr>
                <w:trHeight w:val="38"/>
              </w:trPr>
              <w:tc>
                <w:tcPr>
                  <w:tcW w:w="534" w:type="dxa"/>
                  <w:shd w:val="clear" w:color="auto" w:fill="D9D9D9" w:themeFill="background1" w:themeFillShade="D9"/>
                  <w:vAlign w:val="center"/>
                </w:tcPr>
                <w:p w14:paraId="655C0ED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2015</w:t>
                  </w:r>
                </w:p>
              </w:tc>
              <w:tc>
                <w:tcPr>
                  <w:tcW w:w="767" w:type="dxa"/>
                  <w:vAlign w:val="center"/>
                </w:tcPr>
                <w:p w14:paraId="17B1600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7.71%</w:t>
                  </w:r>
                </w:p>
              </w:tc>
              <w:tc>
                <w:tcPr>
                  <w:tcW w:w="660" w:type="dxa"/>
                  <w:vAlign w:val="center"/>
                </w:tcPr>
                <w:p w14:paraId="0ABE19A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0.77%</w:t>
                  </w:r>
                </w:p>
              </w:tc>
              <w:tc>
                <w:tcPr>
                  <w:tcW w:w="640" w:type="dxa"/>
                  <w:vAlign w:val="center"/>
                </w:tcPr>
                <w:p w14:paraId="39E9FF9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5.42%</w:t>
                  </w:r>
                </w:p>
              </w:tc>
              <w:tc>
                <w:tcPr>
                  <w:tcW w:w="650" w:type="dxa"/>
                  <w:vAlign w:val="center"/>
                </w:tcPr>
                <w:p w14:paraId="60FF365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2.75%</w:t>
                  </w:r>
                </w:p>
              </w:tc>
              <w:tc>
                <w:tcPr>
                  <w:tcW w:w="650" w:type="dxa"/>
                  <w:vAlign w:val="center"/>
                </w:tcPr>
                <w:p w14:paraId="39D4BCC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-1.34%</w:t>
                  </w:r>
                </w:p>
              </w:tc>
              <w:tc>
                <w:tcPr>
                  <w:tcW w:w="650" w:type="dxa"/>
                  <w:vAlign w:val="center"/>
                </w:tcPr>
                <w:p w14:paraId="315B5DA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-4.10%</w:t>
                  </w:r>
                </w:p>
              </w:tc>
              <w:tc>
                <w:tcPr>
                  <w:tcW w:w="650" w:type="dxa"/>
                  <w:vAlign w:val="center"/>
                </w:tcPr>
                <w:p w14:paraId="1924F2C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3.76%</w:t>
                  </w:r>
                </w:p>
              </w:tc>
              <w:tc>
                <w:tcPr>
                  <w:tcW w:w="650" w:type="dxa"/>
                  <w:vAlign w:val="center"/>
                </w:tcPr>
                <w:p w14:paraId="3982F36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-8.30%</w:t>
                  </w:r>
                </w:p>
              </w:tc>
              <w:tc>
                <w:tcPr>
                  <w:tcW w:w="650" w:type="dxa"/>
                  <w:vAlign w:val="center"/>
                </w:tcPr>
                <w:p w14:paraId="6FC1270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-0.70%</w:t>
                  </w:r>
                </w:p>
              </w:tc>
              <w:tc>
                <w:tcPr>
                  <w:tcW w:w="650" w:type="dxa"/>
                  <w:vAlign w:val="center"/>
                </w:tcPr>
                <w:p w14:paraId="6002817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3.59%</w:t>
                  </w:r>
                </w:p>
              </w:tc>
              <w:tc>
                <w:tcPr>
                  <w:tcW w:w="801" w:type="dxa"/>
                  <w:vAlign w:val="center"/>
                </w:tcPr>
                <w:p w14:paraId="5B2CC6D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1.96%</w:t>
                  </w:r>
                </w:p>
              </w:tc>
              <w:tc>
                <w:tcPr>
                  <w:tcW w:w="713" w:type="dxa"/>
                  <w:vAlign w:val="center"/>
                </w:tcPr>
                <w:p w14:paraId="5FD5B49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-3.47%</w:t>
                  </w:r>
                </w:p>
              </w:tc>
              <w:tc>
                <w:tcPr>
                  <w:tcW w:w="857" w:type="dxa"/>
                  <w:vAlign w:val="center"/>
                </w:tcPr>
                <w:p w14:paraId="247E20C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8.19%</w:t>
                  </w:r>
                </w:p>
              </w:tc>
            </w:tr>
            <w:tr w:rsidR="00825411" w:rsidRPr="00D70A30" w14:paraId="191AEEB6" w14:textId="77777777">
              <w:trPr>
                <w:trHeight w:val="38"/>
              </w:trPr>
              <w:tc>
                <w:tcPr>
                  <w:tcW w:w="534" w:type="dxa"/>
                  <w:shd w:val="clear" w:color="auto" w:fill="D9D9D9" w:themeFill="background1" w:themeFillShade="D9"/>
                  <w:vAlign w:val="center"/>
                </w:tcPr>
                <w:p w14:paraId="7978A43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2016</w:t>
                  </w:r>
                </w:p>
              </w:tc>
              <w:tc>
                <w:tcPr>
                  <w:tcW w:w="767" w:type="dxa"/>
                  <w:vAlign w:val="center"/>
                </w:tcPr>
                <w:p w14:paraId="243FF7E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-4.97%</w:t>
                  </w:r>
                </w:p>
              </w:tc>
              <w:tc>
                <w:tcPr>
                  <w:tcW w:w="660" w:type="dxa"/>
                  <w:vAlign w:val="center"/>
                </w:tcPr>
                <w:p w14:paraId="4516BF9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-1.93%</w:t>
                  </w:r>
                </w:p>
              </w:tc>
              <w:tc>
                <w:tcPr>
                  <w:tcW w:w="640" w:type="dxa"/>
                  <w:vAlign w:val="center"/>
                </w:tcPr>
                <w:p w14:paraId="14C21B0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1.56%</w:t>
                  </w:r>
                </w:p>
              </w:tc>
              <w:tc>
                <w:tcPr>
                  <w:tcW w:w="650" w:type="dxa"/>
                  <w:vAlign w:val="center"/>
                </w:tcPr>
                <w:p w14:paraId="759343A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1.94%</w:t>
                  </w:r>
                </w:p>
              </w:tc>
              <w:tc>
                <w:tcPr>
                  <w:tcW w:w="650" w:type="dxa"/>
                  <w:vAlign w:val="center"/>
                </w:tcPr>
                <w:p w14:paraId="2D96C69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2.69%</w:t>
                  </w:r>
                </w:p>
              </w:tc>
              <w:tc>
                <w:tcPr>
                  <w:tcW w:w="650" w:type="dxa"/>
                  <w:vAlign w:val="center"/>
                </w:tcPr>
                <w:p w14:paraId="0C4D6AC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1.36%</w:t>
                  </w:r>
                </w:p>
              </w:tc>
              <w:tc>
                <w:tcPr>
                  <w:tcW w:w="650" w:type="dxa"/>
                  <w:vAlign w:val="center"/>
                </w:tcPr>
                <w:p w14:paraId="1106C2B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0.22%</w:t>
                  </w:r>
                </w:p>
              </w:tc>
              <w:tc>
                <w:tcPr>
                  <w:tcW w:w="650" w:type="dxa"/>
                  <w:vAlign w:val="center"/>
                </w:tcPr>
                <w:p w14:paraId="4B68BF9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-1.65%</w:t>
                  </w:r>
                </w:p>
              </w:tc>
              <w:tc>
                <w:tcPr>
                  <w:tcW w:w="650" w:type="dxa"/>
                  <w:vAlign w:val="center"/>
                </w:tcPr>
                <w:p w14:paraId="0C8A1CC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0.46%</w:t>
                  </w:r>
                </w:p>
              </w:tc>
              <w:tc>
                <w:tcPr>
                  <w:tcW w:w="650" w:type="dxa"/>
                  <w:vAlign w:val="center"/>
                </w:tcPr>
                <w:p w14:paraId="297DF45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-1.04%</w:t>
                  </w:r>
                </w:p>
              </w:tc>
              <w:tc>
                <w:tcPr>
                  <w:tcW w:w="801" w:type="dxa"/>
                  <w:vAlign w:val="center"/>
                </w:tcPr>
                <w:p w14:paraId="6013EB2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-1.31%</w:t>
                  </w:r>
                </w:p>
              </w:tc>
              <w:tc>
                <w:tcPr>
                  <w:tcW w:w="713" w:type="dxa"/>
                  <w:vAlign w:val="center"/>
                </w:tcPr>
                <w:p w14:paraId="7731E5F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5.31%</w:t>
                  </w:r>
                </w:p>
              </w:tc>
              <w:tc>
                <w:tcPr>
                  <w:tcW w:w="857" w:type="dxa"/>
                  <w:vAlign w:val="center"/>
                </w:tcPr>
                <w:p w14:paraId="504F9BDB"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2.29%</w:t>
                  </w:r>
                </w:p>
              </w:tc>
            </w:tr>
            <w:tr w:rsidR="00825411" w:rsidRPr="00D70A30" w14:paraId="46E76559" w14:textId="77777777">
              <w:trPr>
                <w:trHeight w:val="38"/>
              </w:trPr>
              <w:tc>
                <w:tcPr>
                  <w:tcW w:w="534" w:type="dxa"/>
                  <w:shd w:val="clear" w:color="auto" w:fill="D9D9D9" w:themeFill="background1" w:themeFillShade="D9"/>
                  <w:vAlign w:val="center"/>
                </w:tcPr>
                <w:p w14:paraId="394480E7"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2017</w:t>
                  </w:r>
                </w:p>
              </w:tc>
              <w:tc>
                <w:tcPr>
                  <w:tcW w:w="767" w:type="dxa"/>
                  <w:vAlign w:val="center"/>
                </w:tcPr>
                <w:p w14:paraId="1411EE0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-0.31%</w:t>
                  </w:r>
                </w:p>
              </w:tc>
              <w:tc>
                <w:tcPr>
                  <w:tcW w:w="660" w:type="dxa"/>
                  <w:vAlign w:val="center"/>
                </w:tcPr>
                <w:p w14:paraId="0EE4EFF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2.65%</w:t>
                  </w:r>
                </w:p>
              </w:tc>
              <w:tc>
                <w:tcPr>
                  <w:tcW w:w="640" w:type="dxa"/>
                  <w:vAlign w:val="center"/>
                </w:tcPr>
                <w:p w14:paraId="7FD6886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2.99%</w:t>
                  </w:r>
                </w:p>
              </w:tc>
              <w:tc>
                <w:tcPr>
                  <w:tcW w:w="650" w:type="dxa"/>
                  <w:vAlign w:val="center"/>
                </w:tcPr>
                <w:p w14:paraId="643BE80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0.94%</w:t>
                  </w:r>
                </w:p>
              </w:tc>
              <w:tc>
                <w:tcPr>
                  <w:tcW w:w="650" w:type="dxa"/>
                  <w:vAlign w:val="center"/>
                </w:tcPr>
                <w:p w14:paraId="6941444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1.65%</w:t>
                  </w:r>
                </w:p>
              </w:tc>
              <w:tc>
                <w:tcPr>
                  <w:tcW w:w="650" w:type="dxa"/>
                  <w:vAlign w:val="center"/>
                </w:tcPr>
                <w:p w14:paraId="07E4918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-2.27%</w:t>
                  </w:r>
                </w:p>
              </w:tc>
              <w:tc>
                <w:tcPr>
                  <w:tcW w:w="650" w:type="dxa"/>
                  <w:vAlign w:val="center"/>
                </w:tcPr>
                <w:p w14:paraId="66AF19E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-1.10%</w:t>
                  </w:r>
                </w:p>
              </w:tc>
              <w:tc>
                <w:tcPr>
                  <w:tcW w:w="650" w:type="dxa"/>
                  <w:vAlign w:val="center"/>
                </w:tcPr>
                <w:p w14:paraId="66812EB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0.06%</w:t>
                  </w:r>
                </w:p>
              </w:tc>
              <w:tc>
                <w:tcPr>
                  <w:tcW w:w="650" w:type="dxa"/>
                  <w:vAlign w:val="center"/>
                </w:tcPr>
                <w:p w14:paraId="04EA427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1.39%</w:t>
                  </w:r>
                </w:p>
              </w:tc>
              <w:tc>
                <w:tcPr>
                  <w:tcW w:w="650" w:type="dxa"/>
                  <w:vAlign w:val="center"/>
                </w:tcPr>
                <w:p w14:paraId="2A042E6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2.23%</w:t>
                  </w:r>
                </w:p>
              </w:tc>
              <w:tc>
                <w:tcPr>
                  <w:tcW w:w="801" w:type="dxa"/>
                  <w:vAlign w:val="center"/>
                </w:tcPr>
                <w:p w14:paraId="7D755CE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0.23%</w:t>
                  </w:r>
                </w:p>
              </w:tc>
              <w:tc>
                <w:tcPr>
                  <w:tcW w:w="713" w:type="dxa"/>
                  <w:vAlign w:val="center"/>
                </w:tcPr>
                <w:p w14:paraId="1A7A76F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-0.56%</w:t>
                  </w:r>
                </w:p>
              </w:tc>
              <w:tc>
                <w:tcPr>
                  <w:tcW w:w="857" w:type="dxa"/>
                  <w:vAlign w:val="center"/>
                </w:tcPr>
                <w:p w14:paraId="6733BD05"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8.03%</w:t>
                  </w:r>
                </w:p>
              </w:tc>
            </w:tr>
            <w:tr w:rsidR="00825411" w:rsidRPr="00D70A30" w14:paraId="3A5E451F" w14:textId="77777777">
              <w:trPr>
                <w:trHeight w:val="38"/>
              </w:trPr>
              <w:tc>
                <w:tcPr>
                  <w:tcW w:w="534" w:type="dxa"/>
                  <w:shd w:val="clear" w:color="auto" w:fill="D9D9D9" w:themeFill="background1" w:themeFillShade="D9"/>
                  <w:vAlign w:val="center"/>
                </w:tcPr>
                <w:p w14:paraId="3627DCD3"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2018</w:t>
                  </w:r>
                </w:p>
              </w:tc>
              <w:tc>
                <w:tcPr>
                  <w:tcW w:w="767" w:type="dxa"/>
                  <w:vAlign w:val="center"/>
                </w:tcPr>
                <w:p w14:paraId="324F6E2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0.53%</w:t>
                  </w:r>
                </w:p>
              </w:tc>
              <w:tc>
                <w:tcPr>
                  <w:tcW w:w="660" w:type="dxa"/>
                  <w:vAlign w:val="center"/>
                </w:tcPr>
                <w:p w14:paraId="2C41D6C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-2.94%</w:t>
                  </w:r>
                </w:p>
              </w:tc>
              <w:tc>
                <w:tcPr>
                  <w:tcW w:w="640" w:type="dxa"/>
                  <w:vAlign w:val="center"/>
                </w:tcPr>
                <w:p w14:paraId="74D8D5B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-1.78%</w:t>
                  </w:r>
                </w:p>
              </w:tc>
              <w:tc>
                <w:tcPr>
                  <w:tcW w:w="650" w:type="dxa"/>
                  <w:vAlign w:val="center"/>
                </w:tcPr>
                <w:p w14:paraId="3D8B0C3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3.40%</w:t>
                  </w:r>
                </w:p>
              </w:tc>
              <w:tc>
                <w:tcPr>
                  <w:tcW w:w="650" w:type="dxa"/>
                  <w:vAlign w:val="center"/>
                </w:tcPr>
                <w:p w14:paraId="1A60923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-0.54%</w:t>
                  </w:r>
                </w:p>
              </w:tc>
              <w:tc>
                <w:tcPr>
                  <w:tcW w:w="650" w:type="dxa"/>
                  <w:vAlign w:val="center"/>
                </w:tcPr>
                <w:p w14:paraId="05D71C7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-0.22%</w:t>
                  </w:r>
                </w:p>
              </w:tc>
              <w:tc>
                <w:tcPr>
                  <w:tcW w:w="650" w:type="dxa"/>
                  <w:vAlign w:val="center"/>
                </w:tcPr>
                <w:p w14:paraId="286B76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4.12%</w:t>
                  </w:r>
                </w:p>
              </w:tc>
              <w:tc>
                <w:tcPr>
                  <w:tcW w:w="650" w:type="dxa"/>
                  <w:vAlign w:val="center"/>
                </w:tcPr>
                <w:p w14:paraId="3DA8C10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0.10%</w:t>
                  </w:r>
                </w:p>
              </w:tc>
              <w:tc>
                <w:tcPr>
                  <w:tcW w:w="650" w:type="dxa"/>
                  <w:vAlign w:val="center"/>
                </w:tcPr>
                <w:p w14:paraId="0E01EAF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0.30%</w:t>
                  </w:r>
                </w:p>
              </w:tc>
              <w:tc>
                <w:tcPr>
                  <w:tcW w:w="650" w:type="dxa"/>
                  <w:vAlign w:val="center"/>
                </w:tcPr>
                <w:p w14:paraId="7A9F826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-6.18%</w:t>
                  </w:r>
                </w:p>
              </w:tc>
              <w:tc>
                <w:tcPr>
                  <w:tcW w:w="801" w:type="dxa"/>
                  <w:vAlign w:val="center"/>
                </w:tcPr>
                <w:p w14:paraId="545BB67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-0.31%</w:t>
                  </w:r>
                </w:p>
              </w:tc>
              <w:tc>
                <w:tcPr>
                  <w:tcW w:w="713" w:type="dxa"/>
                  <w:vAlign w:val="center"/>
                </w:tcPr>
                <w:p w14:paraId="5D73BA7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-8.12%</w:t>
                  </w:r>
                </w:p>
              </w:tc>
              <w:tc>
                <w:tcPr>
                  <w:tcW w:w="857" w:type="dxa"/>
                  <w:vAlign w:val="center"/>
                </w:tcPr>
                <w:p w14:paraId="3BC61D4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-12.91%</w:t>
                  </w:r>
                </w:p>
              </w:tc>
            </w:tr>
            <w:tr w:rsidR="00825411" w:rsidRPr="00D70A30" w14:paraId="59FBA48C" w14:textId="77777777">
              <w:trPr>
                <w:trHeight w:val="38"/>
              </w:trPr>
              <w:tc>
                <w:tcPr>
                  <w:tcW w:w="534" w:type="dxa"/>
                  <w:shd w:val="clear" w:color="auto" w:fill="D9D9D9" w:themeFill="background1" w:themeFillShade="D9"/>
                  <w:vAlign w:val="center"/>
                </w:tcPr>
                <w:p w14:paraId="4D8E9AAA"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2019</w:t>
                  </w:r>
                </w:p>
              </w:tc>
              <w:tc>
                <w:tcPr>
                  <w:tcW w:w="767" w:type="dxa"/>
                  <w:vAlign w:val="center"/>
                </w:tcPr>
                <w:p w14:paraId="72D054E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6.88%</w:t>
                  </w:r>
                </w:p>
              </w:tc>
              <w:tc>
                <w:tcPr>
                  <w:tcW w:w="660" w:type="dxa"/>
                  <w:vAlign w:val="center"/>
                </w:tcPr>
                <w:p w14:paraId="3D5535D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5.52%</w:t>
                  </w:r>
                </w:p>
              </w:tc>
              <w:tc>
                <w:tcPr>
                  <w:tcW w:w="640" w:type="dxa"/>
                  <w:vAlign w:val="center"/>
                </w:tcPr>
                <w:p w14:paraId="090088D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2.43%</w:t>
                  </w:r>
                </w:p>
              </w:tc>
              <w:tc>
                <w:tcPr>
                  <w:tcW w:w="650" w:type="dxa"/>
                  <w:vAlign w:val="center"/>
                </w:tcPr>
                <w:p w14:paraId="748EC8B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2.52%</w:t>
                  </w:r>
                </w:p>
              </w:tc>
              <w:tc>
                <w:tcPr>
                  <w:tcW w:w="650" w:type="dxa"/>
                  <w:vAlign w:val="center"/>
                </w:tcPr>
                <w:p w14:paraId="24B622A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-3.48%</w:t>
                  </w:r>
                </w:p>
              </w:tc>
              <w:tc>
                <w:tcPr>
                  <w:tcW w:w="650" w:type="dxa"/>
                  <w:vAlign w:val="center"/>
                </w:tcPr>
                <w:p w14:paraId="7A5CB10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2.06%</w:t>
                  </w:r>
                </w:p>
              </w:tc>
              <w:tc>
                <w:tcPr>
                  <w:tcW w:w="650" w:type="dxa"/>
                  <w:vAlign w:val="center"/>
                </w:tcPr>
                <w:p w14:paraId="5100D24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0.51%</w:t>
                  </w:r>
                </w:p>
              </w:tc>
              <w:tc>
                <w:tcPr>
                  <w:tcW w:w="650" w:type="dxa"/>
                  <w:vAlign w:val="center"/>
                </w:tcPr>
                <w:p w14:paraId="2790D5F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0.41%</w:t>
                  </w:r>
                </w:p>
              </w:tc>
              <w:tc>
                <w:tcPr>
                  <w:tcW w:w="650" w:type="dxa"/>
                  <w:vAlign w:val="center"/>
                </w:tcPr>
                <w:p w14:paraId="7A6D90E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1.15%</w:t>
                  </w:r>
                </w:p>
              </w:tc>
              <w:tc>
                <w:tcPr>
                  <w:tcW w:w="650" w:type="dxa"/>
                  <w:vAlign w:val="center"/>
                </w:tcPr>
                <w:p w14:paraId="585D4A9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-0.27%</w:t>
                  </w:r>
                </w:p>
              </w:tc>
              <w:tc>
                <w:tcPr>
                  <w:tcW w:w="801" w:type="dxa"/>
                  <w:vAlign w:val="center"/>
                </w:tcPr>
                <w:p w14:paraId="0E030D6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0.67%</w:t>
                  </w:r>
                </w:p>
              </w:tc>
              <w:tc>
                <w:tcPr>
                  <w:tcW w:w="713" w:type="dxa"/>
                  <w:vAlign w:val="center"/>
                </w:tcPr>
                <w:p w14:paraId="2626B32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0.22%</w:t>
                  </w:r>
                </w:p>
              </w:tc>
              <w:tc>
                <w:tcPr>
                  <w:tcW w:w="857" w:type="dxa"/>
                  <w:vAlign w:val="center"/>
                </w:tcPr>
                <w:p w14:paraId="35B41E50"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19.79%</w:t>
                  </w:r>
                </w:p>
              </w:tc>
            </w:tr>
            <w:tr w:rsidR="00825411" w:rsidRPr="00D70A30" w14:paraId="23444BE7" w14:textId="77777777">
              <w:trPr>
                <w:trHeight w:val="38"/>
              </w:trPr>
              <w:tc>
                <w:tcPr>
                  <w:tcW w:w="534" w:type="dxa"/>
                  <w:shd w:val="clear" w:color="auto" w:fill="D9D9D9" w:themeFill="background1" w:themeFillShade="D9"/>
                  <w:vAlign w:val="center"/>
                </w:tcPr>
                <w:p w14:paraId="25E4859F"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2020</w:t>
                  </w:r>
                </w:p>
              </w:tc>
              <w:tc>
                <w:tcPr>
                  <w:tcW w:w="767" w:type="dxa"/>
                  <w:vAlign w:val="center"/>
                </w:tcPr>
                <w:p w14:paraId="4AE6FAC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-0.33%</w:t>
                  </w:r>
                </w:p>
              </w:tc>
              <w:tc>
                <w:tcPr>
                  <w:tcW w:w="660" w:type="dxa"/>
                  <w:vAlign w:val="center"/>
                </w:tcPr>
                <w:p w14:paraId="1A2F923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-8.12%</w:t>
                  </w:r>
                </w:p>
              </w:tc>
              <w:tc>
                <w:tcPr>
                  <w:tcW w:w="640" w:type="dxa"/>
                  <w:vAlign w:val="center"/>
                </w:tcPr>
                <w:p w14:paraId="2E090D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-10.0%</w:t>
                  </w:r>
                </w:p>
              </w:tc>
              <w:tc>
                <w:tcPr>
                  <w:tcW w:w="650" w:type="dxa"/>
                  <w:vAlign w:val="center"/>
                </w:tcPr>
                <w:p w14:paraId="2C528A4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4.75%</w:t>
                  </w:r>
                </w:p>
              </w:tc>
              <w:tc>
                <w:tcPr>
                  <w:tcW w:w="650" w:type="dxa"/>
                  <w:vAlign w:val="center"/>
                </w:tcPr>
                <w:p w14:paraId="758F389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3.00%</w:t>
                  </w:r>
                </w:p>
              </w:tc>
              <w:tc>
                <w:tcPr>
                  <w:tcW w:w="650" w:type="dxa"/>
                  <w:vAlign w:val="center"/>
                </w:tcPr>
                <w:p w14:paraId="127B6D5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4.63%</w:t>
                  </w:r>
                </w:p>
              </w:tc>
              <w:tc>
                <w:tcPr>
                  <w:tcW w:w="650" w:type="dxa"/>
                  <w:vAlign w:val="center"/>
                </w:tcPr>
                <w:p w14:paraId="241EBD7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-1.07%</w:t>
                  </w:r>
                </w:p>
              </w:tc>
              <w:tc>
                <w:tcPr>
                  <w:tcW w:w="650" w:type="dxa"/>
                  <w:vAlign w:val="center"/>
                </w:tcPr>
                <w:p w14:paraId="4A5802D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5.55%</w:t>
                  </w:r>
                </w:p>
              </w:tc>
              <w:tc>
                <w:tcPr>
                  <w:tcW w:w="650" w:type="dxa"/>
                  <w:vAlign w:val="center"/>
                </w:tcPr>
                <w:p w14:paraId="2D71757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-1.78%</w:t>
                  </w:r>
                </w:p>
              </w:tc>
              <w:tc>
                <w:tcPr>
                  <w:tcW w:w="650" w:type="dxa"/>
                  <w:vAlign w:val="center"/>
                </w:tcPr>
                <w:p w14:paraId="74B4A9D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-6.40%</w:t>
                  </w:r>
                </w:p>
              </w:tc>
              <w:tc>
                <w:tcPr>
                  <w:tcW w:w="801" w:type="dxa"/>
                  <w:vAlign w:val="center"/>
                </w:tcPr>
                <w:p w14:paraId="51E4020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13.6%</w:t>
                  </w:r>
                </w:p>
              </w:tc>
              <w:tc>
                <w:tcPr>
                  <w:tcW w:w="713" w:type="dxa"/>
                  <w:vAlign w:val="center"/>
                </w:tcPr>
                <w:p w14:paraId="332FBD6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0.98%</w:t>
                  </w:r>
                </w:p>
              </w:tc>
              <w:tc>
                <w:tcPr>
                  <w:tcW w:w="857" w:type="dxa"/>
                  <w:vAlign w:val="center"/>
                </w:tcPr>
                <w:p w14:paraId="4982355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2.39%</w:t>
                  </w:r>
                </w:p>
              </w:tc>
            </w:tr>
            <w:tr w:rsidR="00825411" w:rsidRPr="00D70A30" w14:paraId="4BF4E8C2" w14:textId="77777777">
              <w:trPr>
                <w:trHeight w:val="38"/>
              </w:trPr>
              <w:tc>
                <w:tcPr>
                  <w:tcW w:w="534" w:type="dxa"/>
                  <w:shd w:val="clear" w:color="auto" w:fill="D9D9D9" w:themeFill="background1" w:themeFillShade="D9"/>
                  <w:vAlign w:val="center"/>
                </w:tcPr>
                <w:p w14:paraId="0E20B0D7"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2021</w:t>
                  </w:r>
                </w:p>
              </w:tc>
              <w:tc>
                <w:tcPr>
                  <w:tcW w:w="767" w:type="dxa"/>
                  <w:vAlign w:val="center"/>
                </w:tcPr>
                <w:p w14:paraId="172CEC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0.91%</w:t>
                  </w:r>
                </w:p>
              </w:tc>
              <w:tc>
                <w:tcPr>
                  <w:tcW w:w="660" w:type="dxa"/>
                  <w:vAlign w:val="center"/>
                </w:tcPr>
                <w:p w14:paraId="317497D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1.54%</w:t>
                  </w:r>
                </w:p>
              </w:tc>
              <w:tc>
                <w:tcPr>
                  <w:tcW w:w="640" w:type="dxa"/>
                  <w:vAlign w:val="center"/>
                </w:tcPr>
                <w:p w14:paraId="60F19D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5.44%</w:t>
                  </w:r>
                </w:p>
              </w:tc>
              <w:tc>
                <w:tcPr>
                  <w:tcW w:w="650" w:type="dxa"/>
                  <w:vAlign w:val="center"/>
                </w:tcPr>
                <w:p w14:paraId="302F1AE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0.54%</w:t>
                  </w:r>
                </w:p>
              </w:tc>
              <w:tc>
                <w:tcPr>
                  <w:tcW w:w="650" w:type="dxa"/>
                  <w:vAlign w:val="center"/>
                </w:tcPr>
                <w:p w14:paraId="1A28F90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1.97%</w:t>
                  </w:r>
                </w:p>
              </w:tc>
              <w:tc>
                <w:tcPr>
                  <w:tcW w:w="650" w:type="dxa"/>
                  <w:vAlign w:val="center"/>
                </w:tcPr>
                <w:p w14:paraId="30E534FD"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3.16%</w:t>
                  </w:r>
                </w:p>
              </w:tc>
              <w:tc>
                <w:tcPr>
                  <w:tcW w:w="650" w:type="dxa"/>
                  <w:vAlign w:val="center"/>
                </w:tcPr>
                <w:p w14:paraId="642EAC6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0.00%</w:t>
                  </w:r>
                </w:p>
              </w:tc>
              <w:tc>
                <w:tcPr>
                  <w:tcW w:w="650" w:type="dxa"/>
                  <w:vAlign w:val="center"/>
                </w:tcPr>
                <w:p w14:paraId="6D987A6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1.81%</w:t>
                  </w:r>
                </w:p>
              </w:tc>
              <w:tc>
                <w:tcPr>
                  <w:tcW w:w="650" w:type="dxa"/>
                  <w:vAlign w:val="center"/>
                </w:tcPr>
                <w:p w14:paraId="0D9CA7D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-3.01%</w:t>
                  </w:r>
                </w:p>
              </w:tc>
              <w:tc>
                <w:tcPr>
                  <w:tcW w:w="650" w:type="dxa"/>
                  <w:vAlign w:val="center"/>
                </w:tcPr>
                <w:p w14:paraId="4DDFEEF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5.86%</w:t>
                  </w:r>
                </w:p>
              </w:tc>
              <w:tc>
                <w:tcPr>
                  <w:tcW w:w="801" w:type="dxa"/>
                  <w:vAlign w:val="center"/>
                </w:tcPr>
                <w:p w14:paraId="22E08B3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-0.54%</w:t>
                  </w:r>
                </w:p>
              </w:tc>
              <w:tc>
                <w:tcPr>
                  <w:tcW w:w="713" w:type="dxa"/>
                  <w:vAlign w:val="center"/>
                </w:tcPr>
                <w:p w14:paraId="1B48DFD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+3.16%</w:t>
                  </w:r>
                </w:p>
              </w:tc>
              <w:tc>
                <w:tcPr>
                  <w:tcW w:w="857" w:type="dxa"/>
                  <w:vAlign w:val="center"/>
                </w:tcPr>
                <w:p w14:paraId="55C043C6"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22.54%</w:t>
                  </w:r>
                </w:p>
              </w:tc>
            </w:tr>
            <w:tr w:rsidR="00825411" w:rsidRPr="00D70A30" w14:paraId="371BEE13" w14:textId="77777777">
              <w:trPr>
                <w:trHeight w:val="38"/>
              </w:trPr>
              <w:tc>
                <w:tcPr>
                  <w:tcW w:w="534" w:type="dxa"/>
                  <w:shd w:val="clear" w:color="auto" w:fill="D9D9D9" w:themeFill="background1" w:themeFillShade="D9"/>
                  <w:vAlign w:val="center"/>
                </w:tcPr>
                <w:p w14:paraId="0D922E8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2022</w:t>
                  </w:r>
                </w:p>
              </w:tc>
              <w:tc>
                <w:tcPr>
                  <w:tcW w:w="767" w:type="dxa"/>
                  <w:vAlign w:val="center"/>
                </w:tcPr>
                <w:p w14:paraId="3C10830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-2.59%</w:t>
                  </w:r>
                </w:p>
              </w:tc>
              <w:tc>
                <w:tcPr>
                  <w:tcW w:w="660" w:type="dxa"/>
                  <w:vAlign w:val="center"/>
                </w:tcPr>
                <w:p w14:paraId="608093E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-6.62%</w:t>
                  </w:r>
                </w:p>
              </w:tc>
              <w:tc>
                <w:tcPr>
                  <w:tcW w:w="640" w:type="dxa"/>
                  <w:vAlign w:val="center"/>
                </w:tcPr>
                <w:p w14:paraId="3FB6699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-0.23%</w:t>
                  </w:r>
                </w:p>
              </w:tc>
              <w:tc>
                <w:tcPr>
                  <w:tcW w:w="650" w:type="dxa"/>
                  <w:vAlign w:val="center"/>
                </w:tcPr>
                <w:p w14:paraId="53FCD46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0.0%</w:t>
                  </w:r>
                </w:p>
              </w:tc>
              <w:tc>
                <w:tcPr>
                  <w:tcW w:w="650" w:type="dxa"/>
                  <w:vAlign w:val="center"/>
                </w:tcPr>
                <w:p w14:paraId="256DC03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-2.74%</w:t>
                  </w:r>
                </w:p>
              </w:tc>
              <w:tc>
                <w:tcPr>
                  <w:tcW w:w="650" w:type="dxa"/>
                  <w:vAlign w:val="center"/>
                </w:tcPr>
                <w:p w14:paraId="7E73284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-5.63%</w:t>
                  </w:r>
                </w:p>
              </w:tc>
              <w:tc>
                <w:tcPr>
                  <w:tcW w:w="650" w:type="dxa"/>
                  <w:vAlign w:val="center"/>
                </w:tcPr>
                <w:p w14:paraId="22DC73F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5.96%</w:t>
                  </w:r>
                </w:p>
              </w:tc>
              <w:tc>
                <w:tcPr>
                  <w:tcW w:w="650" w:type="dxa"/>
                  <w:vAlign w:val="center"/>
                </w:tcPr>
                <w:p w14:paraId="7E59E50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-3.64%</w:t>
                  </w:r>
                </w:p>
              </w:tc>
              <w:tc>
                <w:tcPr>
                  <w:tcW w:w="650" w:type="dxa"/>
                  <w:vAlign w:val="center"/>
                </w:tcPr>
                <w:p w14:paraId="59B3577D"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-5.71%</w:t>
                  </w:r>
                </w:p>
              </w:tc>
              <w:tc>
                <w:tcPr>
                  <w:tcW w:w="650" w:type="dxa"/>
                  <w:vAlign w:val="center"/>
                </w:tcPr>
                <w:p w14:paraId="503047A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5.80%</w:t>
                  </w:r>
                </w:p>
              </w:tc>
              <w:tc>
                <w:tcPr>
                  <w:tcW w:w="801" w:type="dxa"/>
                  <w:vAlign w:val="center"/>
                </w:tcPr>
                <w:p w14:paraId="6738B09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4.61%</w:t>
                  </w:r>
                </w:p>
              </w:tc>
              <w:tc>
                <w:tcPr>
                  <w:tcW w:w="713" w:type="dxa"/>
                  <w:vAlign w:val="center"/>
                </w:tcPr>
                <w:p w14:paraId="04DABD0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-3.81%</w:t>
                  </w:r>
                </w:p>
              </w:tc>
              <w:tc>
                <w:tcPr>
                  <w:tcW w:w="857" w:type="dxa"/>
                  <w:vAlign w:val="center"/>
                </w:tcPr>
                <w:p w14:paraId="5691EC1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-14.59%</w:t>
                  </w:r>
                </w:p>
              </w:tc>
            </w:tr>
            <w:tr w:rsidR="00825411" w:rsidRPr="00D70A30" w14:paraId="79B251D9" w14:textId="77777777">
              <w:trPr>
                <w:trHeight w:val="193"/>
              </w:trPr>
              <w:tc>
                <w:tcPr>
                  <w:tcW w:w="534" w:type="dxa"/>
                  <w:shd w:val="clear" w:color="auto" w:fill="D9D9D9" w:themeFill="background1" w:themeFillShade="D9"/>
                  <w:vAlign w:val="center"/>
                </w:tcPr>
                <w:p w14:paraId="45892B10"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2023</w:t>
                  </w:r>
                </w:p>
              </w:tc>
              <w:tc>
                <w:tcPr>
                  <w:tcW w:w="767" w:type="dxa"/>
                  <w:vAlign w:val="center"/>
                </w:tcPr>
                <w:p w14:paraId="3A45EEB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3.84%</w:t>
                  </w:r>
                </w:p>
              </w:tc>
              <w:tc>
                <w:tcPr>
                  <w:tcW w:w="660" w:type="dxa"/>
                  <w:vAlign w:val="center"/>
                </w:tcPr>
                <w:p w14:paraId="27E2A2A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1.31%</w:t>
                  </w:r>
                </w:p>
              </w:tc>
              <w:tc>
                <w:tcPr>
                  <w:tcW w:w="640" w:type="dxa"/>
                  <w:vAlign w:val="center"/>
                </w:tcPr>
                <w:p w14:paraId="3C872D9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1.94%</w:t>
                  </w:r>
                </w:p>
              </w:tc>
              <w:tc>
                <w:tcPr>
                  <w:tcW w:w="650" w:type="dxa"/>
                  <w:vAlign w:val="center"/>
                </w:tcPr>
                <w:p w14:paraId="28ED184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3.87%</w:t>
                  </w:r>
                </w:p>
              </w:tc>
              <w:tc>
                <w:tcPr>
                  <w:tcW w:w="650" w:type="dxa"/>
                  <w:vAlign w:val="center"/>
                </w:tcPr>
                <w:p w14:paraId="2AC84F0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-2.50%</w:t>
                  </w:r>
                </w:p>
              </w:tc>
              <w:tc>
                <w:tcPr>
                  <w:tcW w:w="650" w:type="dxa"/>
                  <w:vAlign w:val="center"/>
                </w:tcPr>
                <w:p w14:paraId="618BA79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1.60%</w:t>
                  </w:r>
                </w:p>
              </w:tc>
              <w:tc>
                <w:tcPr>
                  <w:tcW w:w="650" w:type="dxa"/>
                  <w:vAlign w:val="center"/>
                </w:tcPr>
                <w:p w14:paraId="45A9179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1.68%</w:t>
                  </w:r>
                </w:p>
              </w:tc>
              <w:tc>
                <w:tcPr>
                  <w:tcW w:w="650" w:type="dxa"/>
                  <w:vAlign w:val="center"/>
                </w:tcPr>
                <w:p w14:paraId="02FB87A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-1.54%</w:t>
                  </w:r>
                </w:p>
              </w:tc>
              <w:tc>
                <w:tcPr>
                  <w:tcW w:w="650" w:type="dxa"/>
                  <w:vAlign w:val="center"/>
                </w:tcPr>
                <w:p w14:paraId="068FCC3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-3.25%</w:t>
                  </w:r>
                </w:p>
              </w:tc>
              <w:tc>
                <w:tcPr>
                  <w:tcW w:w="650" w:type="dxa"/>
                  <w:vAlign w:val="center"/>
                </w:tcPr>
                <w:p w14:paraId="559921F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-0.75%</w:t>
                  </w:r>
                </w:p>
              </w:tc>
              <w:tc>
                <w:tcPr>
                  <w:tcW w:w="801" w:type="dxa"/>
                  <w:vAlign w:val="center"/>
                </w:tcPr>
                <w:p w14:paraId="6EB8A0A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3.79%</w:t>
                  </w:r>
                </w:p>
              </w:tc>
              <w:tc>
                <w:tcPr>
                  <w:tcW w:w="713" w:type="dxa"/>
                  <w:vAlign w:val="center"/>
                </w:tcPr>
                <w:p w14:paraId="3BF78CAB" w14:textId="0E53A847" w:rsidR="00825411" w:rsidRPr="00D70A30" w:rsidRDefault="00394C4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1.85%</w:t>
                  </w:r>
                </w:p>
              </w:tc>
              <w:tc>
                <w:tcPr>
                  <w:tcW w:w="857" w:type="dxa"/>
                  <w:vAlign w:val="center"/>
                </w:tcPr>
                <w:p w14:paraId="22DC54EA" w14:textId="13E89F0F" w:rsidR="00825411" w:rsidRPr="00D70A30" w:rsidRDefault="00825411">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1</w:t>
                  </w:r>
                  <w:r w:rsidR="00394C4C">
                    <w:rPr>
                      <w:rFonts w:asciiTheme="minorHAnsi" w:hAnsiTheme="minorHAnsi"/>
                      <w:color w:val="auto"/>
                      <w:sz w:val="13"/>
                      <w:szCs w:val="13"/>
                      <w:lang w:val="en-US"/>
                    </w:rPr>
                    <w:t>2.13%</w:t>
                  </w:r>
                </w:p>
              </w:tc>
            </w:tr>
            <w:tr w:rsidR="00BF2FBD" w:rsidRPr="00D70A30" w14:paraId="0BB86C5B" w14:textId="77777777">
              <w:trPr>
                <w:trHeight w:val="193"/>
              </w:trPr>
              <w:tc>
                <w:tcPr>
                  <w:tcW w:w="534" w:type="dxa"/>
                  <w:shd w:val="clear" w:color="auto" w:fill="D9D9D9" w:themeFill="background1" w:themeFillShade="D9"/>
                  <w:vAlign w:val="center"/>
                </w:tcPr>
                <w:p w14:paraId="5C27C8A9" w14:textId="10B2D90E" w:rsidR="00BF2FBD" w:rsidRPr="00D70A30" w:rsidRDefault="00BF2FBD">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2024</w:t>
                  </w:r>
                </w:p>
              </w:tc>
              <w:tc>
                <w:tcPr>
                  <w:tcW w:w="767" w:type="dxa"/>
                  <w:vAlign w:val="center"/>
                </w:tcPr>
                <w:p w14:paraId="7D49E3C4" w14:textId="2E4BA542" w:rsidR="00BF2FBD" w:rsidRPr="00D70A30" w:rsidRDefault="00BF2FB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1.32%</w:t>
                  </w:r>
                </w:p>
              </w:tc>
              <w:tc>
                <w:tcPr>
                  <w:tcW w:w="660" w:type="dxa"/>
                  <w:vAlign w:val="center"/>
                </w:tcPr>
                <w:p w14:paraId="16B3D762" w14:textId="5FCE7C5B" w:rsidR="00BF2FBD" w:rsidRPr="00D70A30" w:rsidRDefault="00FC6E0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3.15%</w:t>
                  </w:r>
                </w:p>
              </w:tc>
              <w:tc>
                <w:tcPr>
                  <w:tcW w:w="640" w:type="dxa"/>
                  <w:vAlign w:val="center"/>
                </w:tcPr>
                <w:p w14:paraId="0C5A83C6" w14:textId="5E7E3C8D" w:rsidR="00BF2FBD" w:rsidRPr="00D70A30" w:rsidRDefault="006857C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2.13%</w:t>
                  </w:r>
                </w:p>
              </w:tc>
              <w:tc>
                <w:tcPr>
                  <w:tcW w:w="650" w:type="dxa"/>
                  <w:vAlign w:val="center"/>
                </w:tcPr>
                <w:p w14:paraId="077E0D1D" w14:textId="029D470B" w:rsidR="00BF2FBD" w:rsidRPr="00D70A30" w:rsidRDefault="006F2FD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-1.23%</w:t>
                  </w:r>
                </w:p>
              </w:tc>
              <w:tc>
                <w:tcPr>
                  <w:tcW w:w="650" w:type="dxa"/>
                  <w:vAlign w:val="center"/>
                </w:tcPr>
                <w:p w14:paraId="09C9BE45" w14:textId="140910B3" w:rsidR="00BF2FBD" w:rsidRPr="00D70A30" w:rsidRDefault="001142C3">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1.38%</w:t>
                  </w:r>
                </w:p>
              </w:tc>
              <w:tc>
                <w:tcPr>
                  <w:tcW w:w="650" w:type="dxa"/>
                  <w:vAlign w:val="center"/>
                </w:tcPr>
                <w:p w14:paraId="1B952167" w14:textId="50B12572" w:rsidR="00BF2FBD" w:rsidRPr="00D70A30" w:rsidRDefault="00E06C99">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1.58%</w:t>
                  </w:r>
                </w:p>
              </w:tc>
              <w:tc>
                <w:tcPr>
                  <w:tcW w:w="650" w:type="dxa"/>
                  <w:vAlign w:val="center"/>
                </w:tcPr>
                <w:p w14:paraId="432F3912" w14:textId="5130DAFF" w:rsidR="00BF2FBD" w:rsidRPr="00D70A30" w:rsidRDefault="00182A3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-0.45%</w:t>
                  </w:r>
                </w:p>
              </w:tc>
              <w:tc>
                <w:tcPr>
                  <w:tcW w:w="650" w:type="dxa"/>
                  <w:vAlign w:val="center"/>
                </w:tcPr>
                <w:p w14:paraId="05AD3A6A" w14:textId="1EE560CF" w:rsidR="00BF2FBD" w:rsidRPr="00D70A30" w:rsidRDefault="009347F6">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1.04%</w:t>
                  </w:r>
                </w:p>
              </w:tc>
              <w:tc>
                <w:tcPr>
                  <w:tcW w:w="650" w:type="dxa"/>
                  <w:vAlign w:val="center"/>
                </w:tcPr>
                <w:p w14:paraId="61A6A3F0" w14:textId="44B4268C" w:rsidR="00BF2FBD" w:rsidRPr="00D70A30" w:rsidRDefault="00C3341B">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-0.53%</w:t>
                  </w:r>
                </w:p>
              </w:tc>
              <w:tc>
                <w:tcPr>
                  <w:tcW w:w="650" w:type="dxa"/>
                  <w:vAlign w:val="center"/>
                </w:tcPr>
                <w:p w14:paraId="50EC0734" w14:textId="6BB24F26" w:rsidR="00BF2FBD" w:rsidRPr="00D70A30" w:rsidRDefault="00B41D6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-1.08%</w:t>
                  </w:r>
                </w:p>
              </w:tc>
              <w:tc>
                <w:tcPr>
                  <w:tcW w:w="801" w:type="dxa"/>
                  <w:vAlign w:val="center"/>
                </w:tcPr>
                <w:p w14:paraId="09DD27A4" w14:textId="12C8713A" w:rsidR="00BF2FBD" w:rsidRPr="00D70A30" w:rsidRDefault="00DA188E">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1.22%</w:t>
                  </w:r>
                </w:p>
              </w:tc>
              <w:tc>
                <w:tcPr>
                  <w:tcW w:w="713" w:type="dxa"/>
                  <w:vAlign w:val="center"/>
                </w:tcPr>
                <w:p w14:paraId="04467894" w14:textId="2755649B" w:rsidR="00BF2FBD" w:rsidRDefault="00FF041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-2.01</w:t>
                  </w:r>
                </w:p>
              </w:tc>
              <w:tc>
                <w:tcPr>
                  <w:tcW w:w="857" w:type="dxa"/>
                  <w:vAlign w:val="center"/>
                </w:tcPr>
                <w:p w14:paraId="1E8C6982" w14:textId="090C0FEA" w:rsidR="00BF2FBD" w:rsidRDefault="00FF0411" w:rsidP="00FC6E0C">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6.58</w:t>
                  </w:r>
                  <w:r w:rsidR="00DA188E">
                    <w:rPr>
                      <w:rFonts w:asciiTheme="minorHAnsi" w:hAnsiTheme="minorHAnsi"/>
                      <w:color w:val="auto"/>
                      <w:sz w:val="13"/>
                      <w:szCs w:val="13"/>
                      <w:lang w:val="en-US"/>
                    </w:rPr>
                    <w:t>%</w:t>
                  </w:r>
                </w:p>
              </w:tc>
            </w:tr>
            <w:tr w:rsidR="00814793" w:rsidRPr="00D70A30" w14:paraId="1BB83234" w14:textId="77777777">
              <w:trPr>
                <w:trHeight w:val="193"/>
              </w:trPr>
              <w:tc>
                <w:tcPr>
                  <w:tcW w:w="534" w:type="dxa"/>
                  <w:shd w:val="clear" w:color="auto" w:fill="D9D9D9" w:themeFill="background1" w:themeFillShade="D9"/>
                  <w:vAlign w:val="center"/>
                </w:tcPr>
                <w:p w14:paraId="3D810F72" w14:textId="67C28C2E" w:rsidR="00814793" w:rsidRDefault="00814793">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2025</w:t>
                  </w:r>
                </w:p>
              </w:tc>
              <w:tc>
                <w:tcPr>
                  <w:tcW w:w="767" w:type="dxa"/>
                  <w:vAlign w:val="center"/>
                </w:tcPr>
                <w:p w14:paraId="1B3A56DE" w14:textId="4FD934E6" w:rsidR="00814793" w:rsidRDefault="00814793">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5.39%</w:t>
                  </w:r>
                </w:p>
              </w:tc>
              <w:tc>
                <w:tcPr>
                  <w:tcW w:w="660" w:type="dxa"/>
                  <w:vAlign w:val="center"/>
                </w:tcPr>
                <w:p w14:paraId="28233CF2" w14:textId="039A7601" w:rsidR="00814793" w:rsidRDefault="00445A3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w:t>
                  </w:r>
                  <w:r w:rsidR="0073323C">
                    <w:rPr>
                      <w:rFonts w:asciiTheme="minorHAnsi" w:hAnsiTheme="minorHAnsi"/>
                      <w:b w:val="0"/>
                      <w:color w:val="auto"/>
                      <w:sz w:val="13"/>
                      <w:szCs w:val="13"/>
                      <w:lang w:val="en-US"/>
                    </w:rPr>
                    <w:t>.</w:t>
                  </w:r>
                  <w:r>
                    <w:rPr>
                      <w:rFonts w:asciiTheme="minorHAnsi" w:hAnsiTheme="minorHAnsi"/>
                      <w:b w:val="0"/>
                      <w:color w:val="auto"/>
                      <w:sz w:val="13"/>
                      <w:szCs w:val="13"/>
                      <w:lang w:val="en-US"/>
                    </w:rPr>
                    <w:t>98%</w:t>
                  </w:r>
                </w:p>
              </w:tc>
              <w:tc>
                <w:tcPr>
                  <w:tcW w:w="640" w:type="dxa"/>
                  <w:vAlign w:val="center"/>
                </w:tcPr>
                <w:p w14:paraId="6AE5CF87" w14:textId="1DF4A6DD" w:rsidR="00814793" w:rsidRDefault="00880679">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-5.58%</w:t>
                  </w:r>
                </w:p>
              </w:tc>
              <w:tc>
                <w:tcPr>
                  <w:tcW w:w="650" w:type="dxa"/>
                  <w:vAlign w:val="center"/>
                </w:tcPr>
                <w:p w14:paraId="0D57500D" w14:textId="6E080668" w:rsidR="00814793" w:rsidRDefault="0095277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-1.84%</w:t>
                  </w:r>
                </w:p>
              </w:tc>
              <w:tc>
                <w:tcPr>
                  <w:tcW w:w="650" w:type="dxa"/>
                  <w:vAlign w:val="center"/>
                </w:tcPr>
                <w:p w14:paraId="69A6CCAD" w14:textId="6BFB522A" w:rsidR="00814793" w:rsidRDefault="00860B7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3.56%</w:t>
                  </w:r>
                </w:p>
              </w:tc>
              <w:tc>
                <w:tcPr>
                  <w:tcW w:w="650" w:type="dxa"/>
                  <w:vAlign w:val="center"/>
                </w:tcPr>
                <w:p w14:paraId="3F06ED67" w14:textId="21496171" w:rsidR="00814793" w:rsidRDefault="00FA75B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-0.97%</w:t>
                  </w:r>
                </w:p>
              </w:tc>
              <w:tc>
                <w:tcPr>
                  <w:tcW w:w="650" w:type="dxa"/>
                  <w:vAlign w:val="center"/>
                </w:tcPr>
                <w:p w14:paraId="07CE591F" w14:textId="7E0CA06A" w:rsidR="00814793" w:rsidRDefault="0022613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-1.25%</w:t>
                  </w:r>
                </w:p>
              </w:tc>
              <w:tc>
                <w:tcPr>
                  <w:tcW w:w="650" w:type="dxa"/>
                  <w:vAlign w:val="center"/>
                </w:tcPr>
                <w:p w14:paraId="123D9F6E" w14:textId="1D36B5DC" w:rsidR="00814793" w:rsidRDefault="0034161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-0.94%</w:t>
                  </w:r>
                </w:p>
              </w:tc>
              <w:tc>
                <w:tcPr>
                  <w:tcW w:w="650" w:type="dxa"/>
                  <w:vAlign w:val="center"/>
                </w:tcPr>
                <w:p w14:paraId="6119F608" w14:textId="072AA9F9" w:rsidR="00814793" w:rsidRDefault="00505BE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3.08%</w:t>
                  </w:r>
                </w:p>
              </w:tc>
              <w:tc>
                <w:tcPr>
                  <w:tcW w:w="650" w:type="dxa"/>
                  <w:vAlign w:val="center"/>
                </w:tcPr>
                <w:p w14:paraId="3C007E27" w14:textId="75653B33" w:rsidR="00814793" w:rsidRDefault="001026FF">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1.20%</w:t>
                  </w:r>
                </w:p>
              </w:tc>
              <w:tc>
                <w:tcPr>
                  <w:tcW w:w="801" w:type="dxa"/>
                  <w:vAlign w:val="center"/>
                </w:tcPr>
                <w:p w14:paraId="79F4718F" w14:textId="22B2F175" w:rsidR="00814793" w:rsidRDefault="0047296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-2.30%</w:t>
                  </w:r>
                </w:p>
              </w:tc>
              <w:tc>
                <w:tcPr>
                  <w:tcW w:w="713" w:type="dxa"/>
                  <w:vAlign w:val="center"/>
                </w:tcPr>
                <w:p w14:paraId="31B58186" w14:textId="36ABBB97" w:rsidR="00814793" w:rsidRDefault="00237938">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0.18%</w:t>
                  </w:r>
                </w:p>
              </w:tc>
              <w:tc>
                <w:tcPr>
                  <w:tcW w:w="857" w:type="dxa"/>
                  <w:vAlign w:val="center"/>
                </w:tcPr>
                <w:p w14:paraId="1B36ADDA" w14:textId="352FA2F7" w:rsidR="00814793" w:rsidRDefault="00237938" w:rsidP="00FC6E0C">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w:t>
                  </w:r>
                  <w:r w:rsidR="00445A3D">
                    <w:rPr>
                      <w:rFonts w:asciiTheme="minorHAnsi" w:hAnsiTheme="minorHAnsi"/>
                      <w:color w:val="auto"/>
                      <w:sz w:val="13"/>
                      <w:szCs w:val="13"/>
                      <w:lang w:val="en-US"/>
                    </w:rPr>
                    <w:t>%</w:t>
                  </w:r>
                </w:p>
              </w:tc>
            </w:tr>
            <w:tr w:rsidR="00161A5A" w:rsidRPr="00D70A30" w14:paraId="1657D531" w14:textId="77777777">
              <w:trPr>
                <w:trHeight w:val="193"/>
              </w:trPr>
              <w:tc>
                <w:tcPr>
                  <w:tcW w:w="534" w:type="dxa"/>
                  <w:shd w:val="clear" w:color="auto" w:fill="D9D9D9" w:themeFill="background1" w:themeFillShade="D9"/>
                  <w:vAlign w:val="center"/>
                </w:tcPr>
                <w:p w14:paraId="032FCE22" w14:textId="35DB2618" w:rsidR="00161A5A" w:rsidRDefault="00161A5A">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2026</w:t>
                  </w:r>
                </w:p>
              </w:tc>
              <w:tc>
                <w:tcPr>
                  <w:tcW w:w="767" w:type="dxa"/>
                  <w:vAlign w:val="center"/>
                </w:tcPr>
                <w:p w14:paraId="5C03B0A9" w14:textId="41E422F9" w:rsidR="00161A5A" w:rsidRDefault="00161A5A">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2.24%</w:t>
                  </w:r>
                </w:p>
              </w:tc>
              <w:tc>
                <w:tcPr>
                  <w:tcW w:w="660" w:type="dxa"/>
                  <w:vAlign w:val="center"/>
                </w:tcPr>
                <w:p w14:paraId="149D3A16" w14:textId="6A3F3EE0" w:rsidR="00161A5A" w:rsidRDefault="000236D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5.09%</w:t>
                  </w:r>
                </w:p>
              </w:tc>
              <w:tc>
                <w:tcPr>
                  <w:tcW w:w="640" w:type="dxa"/>
                  <w:vAlign w:val="center"/>
                </w:tcPr>
                <w:p w14:paraId="6ECA1DAE" w14:textId="4ED246D2" w:rsidR="00161A5A" w:rsidRDefault="00E511AB">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-6.86%</w:t>
                  </w:r>
                </w:p>
              </w:tc>
              <w:tc>
                <w:tcPr>
                  <w:tcW w:w="650" w:type="dxa"/>
                  <w:vAlign w:val="center"/>
                </w:tcPr>
                <w:p w14:paraId="5AE1852F" w14:textId="47C8A98F" w:rsidR="00161A5A" w:rsidRDefault="00D10A98">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6.11%</w:t>
                  </w:r>
                </w:p>
              </w:tc>
              <w:tc>
                <w:tcPr>
                  <w:tcW w:w="650" w:type="dxa"/>
                  <w:vAlign w:val="center"/>
                </w:tcPr>
                <w:p w14:paraId="18BF4859" w14:textId="0E5D47AD" w:rsidR="00161A5A" w:rsidRDefault="001777FA">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5.20%</w:t>
                  </w:r>
                </w:p>
              </w:tc>
              <w:tc>
                <w:tcPr>
                  <w:tcW w:w="650" w:type="dxa"/>
                  <w:vAlign w:val="center"/>
                </w:tcPr>
                <w:p w14:paraId="7D4743DD" w14:textId="4573A514" w:rsidR="00161A5A" w:rsidRDefault="0094228A">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1.42%</w:t>
                  </w:r>
                </w:p>
              </w:tc>
              <w:tc>
                <w:tcPr>
                  <w:tcW w:w="650" w:type="dxa"/>
                  <w:vAlign w:val="center"/>
                </w:tcPr>
                <w:p w14:paraId="320364B4" w14:textId="5F0C285B" w:rsidR="00161A5A" w:rsidRDefault="00B72E48">
                  <w:pPr>
                    <w:pStyle w:val="Heading1"/>
                    <w:spacing w:before="0"/>
                    <w:jc w:val="center"/>
                    <w:rPr>
                      <w:rFonts w:asciiTheme="minorHAnsi" w:hAnsiTheme="minorHAnsi"/>
                      <w:b w:val="0"/>
                      <w:color w:val="auto"/>
                      <w:sz w:val="13"/>
                      <w:szCs w:val="13"/>
                      <w:lang w:val="en-US"/>
                    </w:rPr>
                  </w:pPr>
                  <w:r w:rsidRPr="00B72E48">
                    <w:rPr>
                      <w:rFonts w:asciiTheme="minorHAnsi" w:hAnsiTheme="minorHAnsi"/>
                      <w:b w:val="0"/>
                      <w:color w:val="auto"/>
                      <w:sz w:val="13"/>
                      <w:szCs w:val="13"/>
                      <w:lang w:val="en-US"/>
                    </w:rPr>
                    <w:t>-1.11%</w:t>
                  </w:r>
                </w:p>
              </w:tc>
              <w:tc>
                <w:tcPr>
                  <w:tcW w:w="650" w:type="dxa"/>
                  <w:vAlign w:val="center"/>
                </w:tcPr>
                <w:p w14:paraId="473B2B20" w14:textId="30C3FCB4" w:rsidR="00161A5A" w:rsidRDefault="0072171E">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0.55%</w:t>
                  </w:r>
                </w:p>
              </w:tc>
              <w:tc>
                <w:tcPr>
                  <w:tcW w:w="650" w:type="dxa"/>
                  <w:vAlign w:val="center"/>
                </w:tcPr>
                <w:p w14:paraId="43F24D61" w14:textId="19107188" w:rsidR="00161A5A" w:rsidRDefault="00CF7F78">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-1.46%</w:t>
                  </w:r>
                </w:p>
              </w:tc>
              <w:tc>
                <w:tcPr>
                  <w:tcW w:w="650" w:type="dxa"/>
                  <w:vAlign w:val="center"/>
                </w:tcPr>
                <w:p w14:paraId="418F6B83" w14:textId="77777777" w:rsidR="00161A5A" w:rsidRDefault="00161A5A">
                  <w:pPr>
                    <w:pStyle w:val="Heading1"/>
                    <w:spacing w:before="0"/>
                    <w:jc w:val="center"/>
                    <w:rPr>
                      <w:rFonts w:asciiTheme="minorHAnsi" w:hAnsiTheme="minorHAnsi"/>
                      <w:b w:val="0"/>
                      <w:color w:val="auto"/>
                      <w:sz w:val="13"/>
                      <w:szCs w:val="13"/>
                      <w:lang w:val="en-US"/>
                    </w:rPr>
                  </w:pPr>
                </w:p>
              </w:tc>
              <w:tc>
                <w:tcPr>
                  <w:tcW w:w="801" w:type="dxa"/>
                  <w:vAlign w:val="center"/>
                </w:tcPr>
                <w:p w14:paraId="361C624C" w14:textId="77777777" w:rsidR="00161A5A" w:rsidRDefault="00161A5A">
                  <w:pPr>
                    <w:pStyle w:val="Heading1"/>
                    <w:spacing w:before="0"/>
                    <w:jc w:val="center"/>
                    <w:rPr>
                      <w:rFonts w:asciiTheme="minorHAnsi" w:hAnsiTheme="minorHAnsi"/>
                      <w:b w:val="0"/>
                      <w:color w:val="auto"/>
                      <w:sz w:val="13"/>
                      <w:szCs w:val="13"/>
                      <w:lang w:val="en-US"/>
                    </w:rPr>
                  </w:pPr>
                </w:p>
              </w:tc>
              <w:tc>
                <w:tcPr>
                  <w:tcW w:w="713" w:type="dxa"/>
                  <w:vAlign w:val="center"/>
                </w:tcPr>
                <w:p w14:paraId="79F3D20D" w14:textId="77777777" w:rsidR="00161A5A" w:rsidRDefault="00161A5A">
                  <w:pPr>
                    <w:pStyle w:val="Heading1"/>
                    <w:spacing w:before="0"/>
                    <w:jc w:val="center"/>
                    <w:rPr>
                      <w:rFonts w:asciiTheme="minorHAnsi" w:hAnsiTheme="minorHAnsi"/>
                      <w:b w:val="0"/>
                      <w:color w:val="auto"/>
                      <w:sz w:val="13"/>
                      <w:szCs w:val="13"/>
                      <w:lang w:val="en-US"/>
                    </w:rPr>
                  </w:pPr>
                </w:p>
              </w:tc>
              <w:tc>
                <w:tcPr>
                  <w:tcW w:w="857" w:type="dxa"/>
                  <w:vAlign w:val="center"/>
                </w:tcPr>
                <w:p w14:paraId="19CE31C3" w14:textId="511B3365" w:rsidR="00161A5A" w:rsidRDefault="00CF7F78" w:rsidP="00FC6E0C">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11.01%</w:t>
                  </w:r>
                </w:p>
              </w:tc>
            </w:tr>
          </w:tbl>
          <w:p w14:paraId="46FEDD0E" w14:textId="77777777" w:rsidR="00825411" w:rsidRDefault="00825411" w:rsidP="00C4745C">
            <w:pPr>
              <w:pStyle w:val="Heading1"/>
              <w:spacing w:before="0"/>
              <w:rPr>
                <w:rFonts w:asciiTheme="minorHAnsi" w:hAnsiTheme="minorHAnsi"/>
                <w:color w:val="C00000"/>
                <w:sz w:val="24"/>
                <w:lang w:val="en-US"/>
              </w:rPr>
            </w:pPr>
            <w:r w:rsidRPr="00394C4C">
              <w:rPr>
                <w:rFonts w:asciiTheme="minorHAnsi" w:hAnsiTheme="minorHAnsi"/>
                <w:color w:val="C00000"/>
                <w:sz w:val="24"/>
                <w:lang w:val="en-US"/>
              </w:rPr>
              <w:t>Figures &amp; Ratios</w:t>
            </w:r>
          </w:p>
          <w:p w14:paraId="4BA0874D" w14:textId="49D73123" w:rsidR="005715AE" w:rsidRDefault="002D3B5D" w:rsidP="005715AE">
            <w:pPr>
              <w:jc w:val="center"/>
              <w:rPr>
                <w:iCs/>
                <w:sz w:val="14"/>
                <w:szCs w:val="14"/>
                <w:lang w:val="en-GB"/>
              </w:rPr>
            </w:pPr>
            <w:r w:rsidRPr="002D3B5D">
              <w:rPr>
                <w:iCs/>
                <w:noProof/>
                <w:sz w:val="14"/>
                <w:szCs w:val="14"/>
                <w:lang w:val="en-GB"/>
              </w:rPr>
              <w:drawing>
                <wp:inline distT="0" distB="0" distL="0" distR="0" wp14:anchorId="0C99B15A" wp14:editId="68D97959">
                  <wp:extent cx="6048372" cy="1698312"/>
                  <wp:effectExtent l="0" t="0" r="0" b="0"/>
                  <wp:docPr id="207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9"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048372" cy="1698312"/>
                          </a:xfrm>
                          <a:prstGeom prst="rect">
                            <a:avLst/>
                          </a:prstGeom>
                          <a:noFill/>
                          <a:ln>
                            <a:noFill/>
                          </a:ln>
                        </pic:spPr>
                      </pic:pic>
                    </a:graphicData>
                  </a:graphic>
                </wp:inline>
              </w:drawing>
            </w:r>
          </w:p>
          <w:p w14:paraId="48FADE8E" w14:textId="1ABBABA5" w:rsidR="005715AE" w:rsidRPr="005715AE" w:rsidRDefault="006021A7" w:rsidP="005715AE">
            <w:pPr>
              <w:rPr>
                <w:lang w:val="en-US"/>
              </w:rPr>
            </w:pPr>
            <w:r w:rsidRPr="006021A7">
              <w:rPr>
                <w:noProof/>
                <w:lang w:val="en-US" w:eastAsia="de-CH"/>
              </w:rPr>
              <w:drawing>
                <wp:inline distT="0" distB="0" distL="0" distR="0" wp14:anchorId="58D91648" wp14:editId="72CD7557">
                  <wp:extent cx="2918460" cy="1874319"/>
                  <wp:effectExtent l="0" t="0" r="0" b="0"/>
                  <wp:docPr id="454123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23854" name="Picture 1"/>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2924942" cy="1878482"/>
                          </a:xfrm>
                          <a:prstGeom prst="rect">
                            <a:avLst/>
                          </a:prstGeom>
                        </pic:spPr>
                      </pic:pic>
                    </a:graphicData>
                  </a:graphic>
                </wp:inline>
              </w:drawing>
            </w:r>
            <w:r w:rsidR="005715AE" w:rsidRPr="005B0F2F">
              <w:rPr>
                <w:noProof/>
                <w:lang w:val="en-US" w:eastAsia="de-CH"/>
              </w:rPr>
              <w:t xml:space="preserve"> </w:t>
            </w:r>
            <w:r w:rsidR="005715AE">
              <w:rPr>
                <w:noProof/>
                <w14:ligatures w14:val="standardContextual"/>
              </w:rPr>
              <w:t xml:space="preserve">  </w:t>
            </w:r>
            <w:r w:rsidR="006E4979" w:rsidRPr="006E4979">
              <w:rPr>
                <w:noProof/>
                <w14:ligatures w14:val="standardContextual"/>
              </w:rPr>
              <w:drawing>
                <wp:inline distT="0" distB="0" distL="0" distR="0" wp14:anchorId="56F89B30" wp14:editId="20444741">
                  <wp:extent cx="2852661" cy="1866900"/>
                  <wp:effectExtent l="0" t="0" r="5080" b="0"/>
                  <wp:docPr id="1349687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87719" name="Picture 1"/>
                          <pic:cNvPicPr/>
                        </pic:nvPicPr>
                        <pic:blipFill rotWithShape="1">
                          <a:blip r:embed="rId13" cstate="print">
                            <a:extLst>
                              <a:ext uri="{28A0092B-C50C-407E-A947-70E740481C1C}">
                                <a14:useLocalDpi xmlns:a14="http://schemas.microsoft.com/office/drawing/2010/main" val="0"/>
                              </a:ext>
                            </a:extLst>
                          </a:blip>
                          <a:srcRect t="8654" b="8765"/>
                          <a:stretch>
                            <a:fillRect/>
                          </a:stretch>
                        </pic:blipFill>
                        <pic:spPr bwMode="auto">
                          <a:xfrm>
                            <a:off x="0" y="0"/>
                            <a:ext cx="2860257" cy="1871871"/>
                          </a:xfrm>
                          <a:prstGeom prst="rect">
                            <a:avLst/>
                          </a:prstGeom>
                          <a:ln>
                            <a:noFill/>
                          </a:ln>
                          <a:extLst>
                            <a:ext uri="{53640926-AAD7-44D8-BBD7-CCE9431645EC}">
                              <a14:shadowObscured xmlns:a14="http://schemas.microsoft.com/office/drawing/2010/main"/>
                            </a:ext>
                          </a:extLst>
                        </pic:spPr>
                      </pic:pic>
                    </a:graphicData>
                  </a:graphic>
                </wp:inline>
              </w:drawing>
            </w:r>
          </w:p>
        </w:tc>
        <w:tc>
          <w:tcPr>
            <w:tcW w:w="10318" w:type="dxa"/>
          </w:tcPr>
          <w:p w14:paraId="56D22C80" w14:textId="77777777" w:rsidR="00825411" w:rsidRDefault="00825411">
            <w:pPr>
              <w:pStyle w:val="Heading1"/>
              <w:spacing w:before="0"/>
              <w:jc w:val="center"/>
              <w:rPr>
                <w:rFonts w:asciiTheme="minorHAnsi" w:hAnsiTheme="minorHAnsi"/>
                <w:color w:val="auto"/>
                <w:sz w:val="15"/>
                <w:szCs w:val="15"/>
                <w:lang w:val="en-US"/>
              </w:rPr>
            </w:pPr>
          </w:p>
          <w:p w14:paraId="5B38B6A4" w14:textId="77777777" w:rsidR="0031111E" w:rsidRPr="0031111E" w:rsidRDefault="0031111E" w:rsidP="0031111E">
            <w:pPr>
              <w:rPr>
                <w:lang w:val="en-US"/>
              </w:rPr>
            </w:pPr>
          </w:p>
        </w:tc>
      </w:tr>
    </w:tbl>
    <w:p w14:paraId="081A542B" w14:textId="77777777" w:rsidR="00E337E2" w:rsidRDefault="00E337E2"/>
    <w:tbl>
      <w:tblPr>
        <w:tblStyle w:val="TableGrid"/>
        <w:tblW w:w="978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F2F2F2" w:themeFill="background1" w:themeFillShade="F2"/>
        <w:tblLayout w:type="fixed"/>
        <w:tblLook w:val="04A0" w:firstRow="1" w:lastRow="0" w:firstColumn="1" w:lastColumn="0" w:noHBand="0" w:noVBand="1"/>
      </w:tblPr>
      <w:tblGrid>
        <w:gridCol w:w="5529"/>
        <w:gridCol w:w="4252"/>
      </w:tblGrid>
      <w:tr w:rsidR="00825411" w:rsidRPr="00835938" w14:paraId="4B1A40DE" w14:textId="77777777" w:rsidTr="00E337E2">
        <w:trPr>
          <w:trHeight w:val="317"/>
        </w:trPr>
        <w:tc>
          <w:tcPr>
            <w:tcW w:w="5529" w:type="dxa"/>
            <w:tcBorders>
              <w:top w:val="nil"/>
              <w:left w:val="nil"/>
              <w:bottom w:val="nil"/>
              <w:right w:val="nil"/>
            </w:tcBorders>
            <w:shd w:val="clear" w:color="auto" w:fill="F2F2F2" w:themeFill="background1" w:themeFillShade="F2"/>
          </w:tcPr>
          <w:p w14:paraId="7BDFEF4A" w14:textId="77777777" w:rsidR="00825411" w:rsidRDefault="00825411">
            <w:pPr>
              <w:spacing w:after="0"/>
              <w:rPr>
                <w:sz w:val="10"/>
                <w:lang w:val="en-US"/>
              </w:rPr>
            </w:pPr>
          </w:p>
          <w:p w14:paraId="6D57E18C" w14:textId="35821CA6" w:rsidR="00825411" w:rsidRPr="003D16EC" w:rsidRDefault="00825411">
            <w:pPr>
              <w:spacing w:after="0"/>
              <w:rPr>
                <w:b/>
                <w:color w:val="C00000"/>
                <w:sz w:val="24"/>
                <w:lang w:val="en-US"/>
              </w:rPr>
            </w:pPr>
            <w:r w:rsidRPr="00835938">
              <w:rPr>
                <w:b/>
                <w:color w:val="C00000"/>
                <w:sz w:val="24"/>
                <w:lang w:val="en-US"/>
              </w:rPr>
              <w:t>Certificate Terms</w:t>
            </w:r>
          </w:p>
          <w:p w14:paraId="5F74AB8C" w14:textId="77777777" w:rsidR="00825411" w:rsidRPr="00493A15" w:rsidRDefault="00825411">
            <w:pPr>
              <w:spacing w:after="0"/>
              <w:rPr>
                <w:sz w:val="18"/>
                <w:szCs w:val="18"/>
                <w:lang w:val="en-US"/>
              </w:rPr>
            </w:pPr>
            <w:r w:rsidRPr="00493A15">
              <w:rPr>
                <w:sz w:val="18"/>
                <w:szCs w:val="18"/>
                <w:lang w:val="en-US"/>
              </w:rPr>
              <w:t xml:space="preserve">Issuer: UBS AG </w:t>
            </w:r>
          </w:p>
          <w:p w14:paraId="19E60516" w14:textId="77777777" w:rsidR="00825411" w:rsidRPr="00493A15" w:rsidRDefault="00825411">
            <w:pPr>
              <w:spacing w:after="0"/>
              <w:rPr>
                <w:sz w:val="18"/>
                <w:szCs w:val="18"/>
                <w:lang w:val="en-US"/>
              </w:rPr>
            </w:pPr>
            <w:r w:rsidRPr="00493A15">
              <w:rPr>
                <w:sz w:val="18"/>
                <w:szCs w:val="18"/>
                <w:lang w:val="en-US"/>
              </w:rPr>
              <w:t>Advisor: Aspermont Capital AG</w:t>
            </w:r>
          </w:p>
          <w:p w14:paraId="285DCDB3" w14:textId="77777777" w:rsidR="00825411" w:rsidRPr="00493A15" w:rsidRDefault="00825411">
            <w:pPr>
              <w:spacing w:after="0"/>
              <w:rPr>
                <w:sz w:val="18"/>
                <w:szCs w:val="18"/>
                <w:lang w:val="en-US"/>
              </w:rPr>
            </w:pPr>
            <w:r w:rsidRPr="00493A15">
              <w:rPr>
                <w:sz w:val="18"/>
                <w:szCs w:val="18"/>
                <w:lang w:val="en-US"/>
              </w:rPr>
              <w:t>ISIN: CH0215884732</w:t>
            </w:r>
          </w:p>
          <w:p w14:paraId="31A9020D" w14:textId="77777777" w:rsidR="00825411" w:rsidRPr="00493A15" w:rsidRDefault="00825411">
            <w:pPr>
              <w:spacing w:after="0"/>
              <w:rPr>
                <w:sz w:val="18"/>
                <w:szCs w:val="18"/>
                <w:lang w:val="en-US"/>
              </w:rPr>
            </w:pPr>
            <w:r w:rsidRPr="00493A15">
              <w:rPr>
                <w:sz w:val="18"/>
                <w:szCs w:val="18"/>
                <w:lang w:val="en-US"/>
              </w:rPr>
              <w:t>Profile: Tracker-Certificate (SVSP-Code: 1300)</w:t>
            </w:r>
          </w:p>
          <w:p w14:paraId="3BC08523" w14:textId="77777777" w:rsidR="00825411" w:rsidRPr="00835938" w:rsidRDefault="00825411">
            <w:pPr>
              <w:spacing w:after="0"/>
              <w:rPr>
                <w:sz w:val="20"/>
                <w:lang w:val="en-US"/>
              </w:rPr>
            </w:pPr>
            <w:r w:rsidRPr="00493A15">
              <w:rPr>
                <w:sz w:val="18"/>
                <w:szCs w:val="18"/>
                <w:lang w:val="en-US"/>
              </w:rPr>
              <w:t>Launch date: June 2013</w:t>
            </w:r>
          </w:p>
        </w:tc>
        <w:tc>
          <w:tcPr>
            <w:tcW w:w="4252" w:type="dxa"/>
            <w:tcBorders>
              <w:top w:val="nil"/>
              <w:left w:val="nil"/>
              <w:bottom w:val="nil"/>
              <w:right w:val="nil"/>
            </w:tcBorders>
            <w:shd w:val="clear" w:color="auto" w:fill="F2F2F2" w:themeFill="background1" w:themeFillShade="F2"/>
          </w:tcPr>
          <w:p w14:paraId="63C07671" w14:textId="77777777" w:rsidR="00825411" w:rsidRPr="00835938" w:rsidRDefault="00825411">
            <w:pPr>
              <w:spacing w:after="0"/>
              <w:rPr>
                <w:sz w:val="10"/>
                <w:lang w:val="en-US"/>
              </w:rPr>
            </w:pPr>
          </w:p>
          <w:p w14:paraId="5416688F" w14:textId="77777777" w:rsidR="00825411" w:rsidRDefault="00825411">
            <w:pPr>
              <w:spacing w:after="0"/>
              <w:rPr>
                <w:sz w:val="18"/>
                <w:szCs w:val="18"/>
                <w:lang w:val="en-US"/>
              </w:rPr>
            </w:pPr>
          </w:p>
          <w:p w14:paraId="7AB61E3F" w14:textId="77777777" w:rsidR="00825411" w:rsidRPr="00493A15" w:rsidRDefault="00825411">
            <w:pPr>
              <w:spacing w:after="0"/>
              <w:rPr>
                <w:sz w:val="18"/>
                <w:szCs w:val="18"/>
                <w:lang w:val="en-US"/>
              </w:rPr>
            </w:pPr>
            <w:r w:rsidRPr="00493A15">
              <w:rPr>
                <w:sz w:val="18"/>
                <w:szCs w:val="18"/>
                <w:lang w:val="en-US"/>
              </w:rPr>
              <w:t>Currency: EUR</w:t>
            </w:r>
          </w:p>
          <w:p w14:paraId="37B35118" w14:textId="77777777" w:rsidR="00825411" w:rsidRPr="00493A15" w:rsidRDefault="00825411">
            <w:pPr>
              <w:spacing w:after="0"/>
              <w:rPr>
                <w:sz w:val="18"/>
                <w:szCs w:val="18"/>
                <w:lang w:val="en-US"/>
              </w:rPr>
            </w:pPr>
            <w:r w:rsidRPr="00493A15">
              <w:rPr>
                <w:sz w:val="18"/>
                <w:szCs w:val="18"/>
                <w:lang w:val="en-US"/>
              </w:rPr>
              <w:t>Denomination: EUR 100 per Unit</w:t>
            </w:r>
          </w:p>
          <w:p w14:paraId="47A10C8E" w14:textId="289389C6" w:rsidR="0032060D" w:rsidRPr="00493A15" w:rsidRDefault="00825411">
            <w:pPr>
              <w:spacing w:after="0"/>
              <w:rPr>
                <w:sz w:val="18"/>
                <w:szCs w:val="18"/>
                <w:lang w:val="en-US"/>
              </w:rPr>
            </w:pPr>
            <w:r w:rsidRPr="00493A15">
              <w:rPr>
                <w:sz w:val="18"/>
                <w:szCs w:val="18"/>
                <w:lang w:val="en-US"/>
              </w:rPr>
              <w:t>Maturity: June 12, 2018 (</w:t>
            </w:r>
            <w:r>
              <w:rPr>
                <w:sz w:val="18"/>
                <w:szCs w:val="18"/>
                <w:lang w:val="en-US"/>
              </w:rPr>
              <w:t>e</w:t>
            </w:r>
            <w:r w:rsidRPr="00493A15">
              <w:rPr>
                <w:sz w:val="18"/>
                <w:szCs w:val="18"/>
                <w:lang w:val="en-US"/>
              </w:rPr>
              <w:t>xtend</w:t>
            </w:r>
            <w:r>
              <w:rPr>
                <w:sz w:val="18"/>
                <w:szCs w:val="18"/>
                <w:lang w:val="en-US"/>
              </w:rPr>
              <w:t>ed to June 13, 2028</w:t>
            </w:r>
            <w:r w:rsidRPr="00493A15">
              <w:rPr>
                <w:sz w:val="18"/>
                <w:szCs w:val="18"/>
                <w:lang w:val="en-US"/>
              </w:rPr>
              <w:t>)</w:t>
            </w:r>
          </w:p>
          <w:p w14:paraId="701AB18C" w14:textId="77777777" w:rsidR="00825411" w:rsidRPr="00566A59" w:rsidRDefault="00825411">
            <w:pPr>
              <w:spacing w:after="0"/>
              <w:rPr>
                <w:color w:val="00B050"/>
                <w:sz w:val="18"/>
                <w:szCs w:val="18"/>
                <w:lang w:val="en-US"/>
              </w:rPr>
            </w:pPr>
            <w:r w:rsidRPr="00493A15">
              <w:rPr>
                <w:sz w:val="18"/>
                <w:szCs w:val="18"/>
                <w:lang w:val="en-US"/>
              </w:rPr>
              <w:t>Listing: SIX Swiss Exchange (SIX Structured)</w:t>
            </w:r>
          </w:p>
        </w:tc>
      </w:tr>
    </w:tbl>
    <w:p w14:paraId="1A22082F" w14:textId="76FB3195" w:rsidR="00401BD6" w:rsidRDefault="00401BD6" w:rsidP="008556CB"/>
    <w:sectPr w:rsidR="00401BD6" w:rsidSect="003A192C">
      <w:headerReference w:type="default" r:id="rId14"/>
      <w:footerReference w:type="default" r:id="rId15"/>
      <w:pgSz w:w="11906" w:h="16838" w:code="9"/>
      <w:pgMar w:top="1417" w:right="1274" w:bottom="1417" w:left="1417" w:header="72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08AD3" w14:textId="77777777" w:rsidR="009A17C4" w:rsidRDefault="009A17C4">
      <w:pPr>
        <w:spacing w:after="0" w:line="240" w:lineRule="auto"/>
      </w:pPr>
      <w:r>
        <w:separator/>
      </w:r>
    </w:p>
  </w:endnote>
  <w:endnote w:type="continuationSeparator" w:id="0">
    <w:p w14:paraId="3B4B3FD4" w14:textId="77777777" w:rsidR="009A17C4" w:rsidRDefault="009A1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98906" w14:textId="77777777" w:rsidR="002F0246" w:rsidRPr="001A02FB" w:rsidRDefault="002F0246" w:rsidP="003A192C">
    <w:pPr>
      <w:spacing w:after="0"/>
      <w:jc w:val="both"/>
      <w:rPr>
        <w:b/>
        <w:bCs/>
        <w:sz w:val="10"/>
        <w:szCs w:val="10"/>
        <w:lang w:val="en-GB"/>
      </w:rPr>
    </w:pPr>
    <w:bookmarkStart w:id="1" w:name="_Hlk198802118"/>
    <w:bookmarkStart w:id="2" w:name="_Hlk198802107"/>
    <w:bookmarkStart w:id="3" w:name="_Hlk198802478"/>
    <w:bookmarkStart w:id="4" w:name="_Hlk198802479"/>
    <w:bookmarkStart w:id="5" w:name="_Hlk198804221"/>
    <w:bookmarkStart w:id="6" w:name="_Hlk198804222"/>
    <w:r w:rsidRPr="001A02FB">
      <w:rPr>
        <w:b/>
        <w:bCs/>
        <w:sz w:val="10"/>
        <w:szCs w:val="10"/>
        <w:lang w:val="en-GB"/>
      </w:rPr>
      <w:t>Disclaimer:</w:t>
    </w:r>
  </w:p>
  <w:bookmarkEnd w:id="1"/>
  <w:p w14:paraId="703A9474" w14:textId="77777777" w:rsidR="002F0246" w:rsidRPr="001A02FB" w:rsidRDefault="002F0246" w:rsidP="003A192C">
    <w:pPr>
      <w:spacing w:after="0"/>
      <w:jc w:val="both"/>
      <w:rPr>
        <w:sz w:val="10"/>
        <w:szCs w:val="10"/>
        <w:lang w:val="en-GB"/>
      </w:rPr>
    </w:pPr>
    <w:r w:rsidRPr="001A02FB">
      <w:rPr>
        <w:sz w:val="10"/>
        <w:szCs w:val="10"/>
        <w:lang w:val="en-GB"/>
      </w:rPr>
      <w:t xml:space="preserve">This document constitutes advertising within the meaning of article 68 of the </w:t>
    </w:r>
    <w:proofErr w:type="spellStart"/>
    <w:r w:rsidRPr="001A02FB">
      <w:rPr>
        <w:sz w:val="10"/>
        <w:szCs w:val="10"/>
        <w:lang w:val="en-GB"/>
      </w:rPr>
      <w:t>FinSA</w:t>
    </w:r>
    <w:proofErr w:type="spellEnd"/>
    <w:r w:rsidRPr="001A02FB">
      <w:rPr>
        <w:sz w:val="10"/>
        <w:szCs w:val="10"/>
        <w:lang w:val="en-GB"/>
      </w:rPr>
      <w:t xml:space="preserve"> and is intended for information only and for personal use. This document is intended only for professional respectively qualified investors and not for private investors.  </w:t>
    </w:r>
  </w:p>
  <w:p w14:paraId="125E07DA" w14:textId="77777777" w:rsidR="002F0246" w:rsidRPr="001A02FB" w:rsidRDefault="002F0246" w:rsidP="003A192C">
    <w:pPr>
      <w:spacing w:after="0"/>
      <w:jc w:val="both"/>
      <w:rPr>
        <w:sz w:val="10"/>
        <w:szCs w:val="10"/>
        <w:lang w:val="en-GB"/>
      </w:rPr>
    </w:pPr>
    <w:r w:rsidRPr="001A02FB">
      <w:rPr>
        <w:sz w:val="10"/>
        <w:szCs w:val="10"/>
        <w:lang w:val="en-GB"/>
      </w:rPr>
      <w:t> </w:t>
    </w:r>
    <w:r w:rsidRPr="001A02FB">
      <w:rPr>
        <w:b/>
        <w:bCs/>
        <w:sz w:val="10"/>
        <w:szCs w:val="10"/>
        <w:lang w:val="en-GB"/>
      </w:rPr>
      <w:t>Structured Products</w:t>
    </w:r>
    <w:r w:rsidRPr="001A02FB">
      <w:rPr>
        <w:sz w:val="10"/>
        <w:szCs w:val="10"/>
        <w:lang w:val="en-GB"/>
      </w:rPr>
      <w:t>: The financial products in this document do not qualify as units of a collective investment scheme in the meaning of Article 7 et seqq. of the Swiss Federal Act on Collective Investment Schemes (CISA) and are therefore neither supervised by the Swiss Financial Market Supervisory Authority (FINMA) nor registered with FINMA. Investors do not benefit from the specific investor protection provided under CISA. </w:t>
    </w:r>
  </w:p>
  <w:p w14:paraId="3C5FE447" w14:textId="77777777" w:rsidR="002F0246" w:rsidRPr="001A02FB" w:rsidRDefault="002F0246" w:rsidP="003A192C">
    <w:pPr>
      <w:jc w:val="both"/>
      <w:rPr>
        <w:sz w:val="10"/>
        <w:szCs w:val="10"/>
        <w:lang w:val="en-GB"/>
      </w:rPr>
    </w:pPr>
    <w:r w:rsidRPr="001A02FB">
      <w:rPr>
        <w:sz w:val="10"/>
        <w:szCs w:val="10"/>
        <w:lang w:val="en-GB"/>
      </w:rPr>
      <w:t xml:space="preserve">No action has been or will be taken to permit a public offering of the financial products or possession or distribution of any offering material in relation to the financial products in any jurisdiction, where such action for that purpose is required. The most important jurisdictions where the financial products may not be publicly distributed are EEA, UK, Hong Kong and Singapore. The financial products may not be offered or sold within the USA, or to or for the account or benefit of US persons (as defined in Regulation S). It does not constitute a public offering, an offer to sell or a solicitation to buy any financial instruments and it is not research. It is not intended to form investment, legal or tax advice and should not be used as the basis for investment decisions. Before making an investment decision, you should obtain professional advice. Past performance is no indicator or guarantee of the future performance of a financial instrument. Individual services and products are subject to legal restrictions in certain countries. They may therefore not be offered throughout the world without restriction. All information is made without warranty to its currency, accuracy, or completeness. Aspermont Capital AG reserves the right to alter its services, products or prices at any time without prior notice. Aspermont Capital AG rejects </w:t>
    </w:r>
    <w:proofErr w:type="gramStart"/>
    <w:r w:rsidRPr="001A02FB">
      <w:rPr>
        <w:sz w:val="10"/>
        <w:szCs w:val="10"/>
        <w:lang w:val="en-GB"/>
      </w:rPr>
      <w:t>any and all</w:t>
    </w:r>
    <w:proofErr w:type="gramEnd"/>
    <w:r w:rsidRPr="001A02FB">
      <w:rPr>
        <w:sz w:val="10"/>
        <w:szCs w:val="10"/>
        <w:lang w:val="en-GB"/>
      </w:rPr>
      <w:t xml:space="preserve"> liability for incorrect or incomplete information. No responsibility is assumed in case of unsolicited delivery. Complete or partial reproduction without the express consent of Aspermont Capital AG is not permitted. </w:t>
    </w:r>
  </w:p>
  <w:bookmarkEnd w:id="2"/>
  <w:p w14:paraId="45C54678" w14:textId="0168375C" w:rsidR="002F0246" w:rsidRDefault="002F0246" w:rsidP="003A192C">
    <w:pPr>
      <w:pStyle w:val="Footer"/>
      <w:jc w:val="both"/>
      <w:rPr>
        <w:sz w:val="10"/>
        <w:szCs w:val="10"/>
        <w:lang w:val="en-GB"/>
      </w:rPr>
    </w:pPr>
    <w:r w:rsidRPr="001A02FB">
      <w:rPr>
        <w:sz w:val="10"/>
        <w:szCs w:val="10"/>
        <w:lang w:val="en-GB"/>
      </w:rPr>
      <w:t xml:space="preserve">The relevant product documentation of the financial products can be obtained directly at Aspermont Capital AG, </w:t>
    </w:r>
    <w:proofErr w:type="spellStart"/>
    <w:r w:rsidRPr="001A02FB">
      <w:rPr>
        <w:sz w:val="10"/>
        <w:szCs w:val="10"/>
        <w:lang w:val="en-GB"/>
      </w:rPr>
      <w:t>Loewenstrasse</w:t>
    </w:r>
    <w:proofErr w:type="spellEnd"/>
    <w:r w:rsidRPr="001A02FB">
      <w:rPr>
        <w:sz w:val="10"/>
        <w:szCs w:val="10"/>
        <w:lang w:val="en-GB"/>
      </w:rPr>
      <w:t xml:space="preserve"> 66, CH-8001 Zurich, via telephone +41 43 888 66 44 or via email </w:t>
    </w:r>
    <w:hyperlink r:id="rId1" w:history="1">
      <w:r w:rsidRPr="001A02FB">
        <w:rPr>
          <w:rStyle w:val="Hyperlink"/>
          <w:sz w:val="10"/>
          <w:szCs w:val="10"/>
          <w:lang w:val="en-GB"/>
        </w:rPr>
        <w:t>info@ascap.ch</w:t>
      </w:r>
    </w:hyperlink>
    <w:r w:rsidRPr="001A02FB">
      <w:rPr>
        <w:sz w:val="10"/>
        <w:szCs w:val="10"/>
        <w:lang w:val="en-GB"/>
      </w:rPr>
      <w:t xml:space="preserve"> .  </w:t>
    </w:r>
  </w:p>
  <w:p w14:paraId="3C2D38CB" w14:textId="77777777" w:rsidR="002F0246" w:rsidRDefault="002F0246" w:rsidP="002F0246">
    <w:pPr>
      <w:pStyle w:val="Footer"/>
    </w:pPr>
    <w:r w:rsidRPr="001A02FB">
      <w:rPr>
        <w:sz w:val="10"/>
        <w:szCs w:val="10"/>
        <w:lang w:val="en-GB"/>
      </w:rPr>
      <w:t>© Aspermont Capital AG 202</w:t>
    </w:r>
    <w:r>
      <w:rPr>
        <w:sz w:val="10"/>
        <w:szCs w:val="10"/>
        <w:lang w:val="en-GB"/>
      </w:rPr>
      <w:t>5</w:t>
    </w:r>
    <w:r w:rsidRPr="001A02FB">
      <w:rPr>
        <w:sz w:val="10"/>
        <w:szCs w:val="10"/>
        <w:lang w:val="en-GB"/>
      </w:rPr>
      <w:t>. All rights reserved.</w:t>
    </w:r>
    <w:r w:rsidRPr="001A02FB">
      <w:rPr>
        <w:sz w:val="8"/>
        <w:szCs w:val="8"/>
        <w:lang w:val="en-GB"/>
      </w:rPr>
      <w:t> </w:t>
    </w:r>
    <w:bookmarkEnd w:id="3"/>
    <w:bookmarkEnd w:id="4"/>
    <w:bookmarkEnd w:id="5"/>
    <w:bookmarkEnd w:id="6"/>
  </w:p>
  <w:p w14:paraId="04BE1369" w14:textId="77777777" w:rsidR="00825411" w:rsidRPr="002F0246" w:rsidRDefault="00825411" w:rsidP="002F0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8FF6" w14:textId="77777777" w:rsidR="009A17C4" w:rsidRDefault="009A17C4">
      <w:pPr>
        <w:spacing w:after="0" w:line="240" w:lineRule="auto"/>
      </w:pPr>
      <w:r>
        <w:separator/>
      </w:r>
    </w:p>
  </w:footnote>
  <w:footnote w:type="continuationSeparator" w:id="0">
    <w:p w14:paraId="46EFDD4D" w14:textId="77777777" w:rsidR="009A17C4" w:rsidRDefault="009A1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7D9F" w14:textId="77777777" w:rsidR="00825411" w:rsidRDefault="00825411">
    <w:pPr>
      <w:pStyle w:val="Header"/>
      <w:jc w:val="right"/>
    </w:pPr>
    <w:r w:rsidRPr="00437B29">
      <w:rPr>
        <w:noProof/>
        <w:lang w:val="de-CH" w:eastAsia="de-CH"/>
      </w:rPr>
      <w:drawing>
        <wp:inline distT="0" distB="0" distL="0" distR="0" wp14:anchorId="686D5577" wp14:editId="45749EE8">
          <wp:extent cx="1314450" cy="209550"/>
          <wp:effectExtent l="19050" t="0" r="0" b="0"/>
          <wp:docPr id="1300811753" name="Picture 1" descr="Aspermont-FinServ_RGB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ermont-FinServ_RGB_L"/>
                  <pic:cNvPicPr>
                    <a:picLocks noChangeAspect="1" noChangeArrowheads="1"/>
                  </pic:cNvPicPr>
                </pic:nvPicPr>
                <pic:blipFill>
                  <a:blip r:embed="rId1"/>
                  <a:srcRect/>
                  <a:stretch>
                    <a:fillRect/>
                  </a:stretch>
                </pic:blipFill>
                <pic:spPr bwMode="auto">
                  <a:xfrm>
                    <a:off x="0" y="0"/>
                    <a:ext cx="1314450" cy="20955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11"/>
    <w:rsid w:val="0001235A"/>
    <w:rsid w:val="0001270F"/>
    <w:rsid w:val="00014017"/>
    <w:rsid w:val="000236D4"/>
    <w:rsid w:val="0003046D"/>
    <w:rsid w:val="00037037"/>
    <w:rsid w:val="000406D0"/>
    <w:rsid w:val="00056509"/>
    <w:rsid w:val="00063119"/>
    <w:rsid w:val="00064C2C"/>
    <w:rsid w:val="000651B4"/>
    <w:rsid w:val="00072C37"/>
    <w:rsid w:val="00073017"/>
    <w:rsid w:val="0007669A"/>
    <w:rsid w:val="000819CB"/>
    <w:rsid w:val="00082B48"/>
    <w:rsid w:val="000917C4"/>
    <w:rsid w:val="000A6B18"/>
    <w:rsid w:val="000B7B09"/>
    <w:rsid w:val="000E032B"/>
    <w:rsid w:val="000E0676"/>
    <w:rsid w:val="001026FF"/>
    <w:rsid w:val="001142C3"/>
    <w:rsid w:val="00117A9C"/>
    <w:rsid w:val="00135FAF"/>
    <w:rsid w:val="00143FC7"/>
    <w:rsid w:val="00145166"/>
    <w:rsid w:val="00151F42"/>
    <w:rsid w:val="001572CF"/>
    <w:rsid w:val="001606E1"/>
    <w:rsid w:val="001616E3"/>
    <w:rsid w:val="00161A5A"/>
    <w:rsid w:val="001777FA"/>
    <w:rsid w:val="00182A34"/>
    <w:rsid w:val="00186358"/>
    <w:rsid w:val="00192262"/>
    <w:rsid w:val="001A304B"/>
    <w:rsid w:val="001B35C0"/>
    <w:rsid w:val="001C4752"/>
    <w:rsid w:val="001D5CC3"/>
    <w:rsid w:val="001D7939"/>
    <w:rsid w:val="001E1BC7"/>
    <w:rsid w:val="001E1EC7"/>
    <w:rsid w:val="001E6222"/>
    <w:rsid w:val="001E7022"/>
    <w:rsid w:val="001F5A0A"/>
    <w:rsid w:val="00201F19"/>
    <w:rsid w:val="00210B89"/>
    <w:rsid w:val="00210FA3"/>
    <w:rsid w:val="002151A2"/>
    <w:rsid w:val="00223AC0"/>
    <w:rsid w:val="0022613C"/>
    <w:rsid w:val="00226773"/>
    <w:rsid w:val="0023039A"/>
    <w:rsid w:val="002338C0"/>
    <w:rsid w:val="00237938"/>
    <w:rsid w:val="0025055B"/>
    <w:rsid w:val="0025648B"/>
    <w:rsid w:val="002633E8"/>
    <w:rsid w:val="00265E7B"/>
    <w:rsid w:val="0026708B"/>
    <w:rsid w:val="0027471E"/>
    <w:rsid w:val="00277676"/>
    <w:rsid w:val="002826F3"/>
    <w:rsid w:val="00284624"/>
    <w:rsid w:val="00294E69"/>
    <w:rsid w:val="002957A4"/>
    <w:rsid w:val="00295B8A"/>
    <w:rsid w:val="002B21F4"/>
    <w:rsid w:val="002B6ECC"/>
    <w:rsid w:val="002C704C"/>
    <w:rsid w:val="002C7468"/>
    <w:rsid w:val="002D3B5D"/>
    <w:rsid w:val="002D3DA2"/>
    <w:rsid w:val="002D5ECE"/>
    <w:rsid w:val="002E787C"/>
    <w:rsid w:val="002F0246"/>
    <w:rsid w:val="002F035F"/>
    <w:rsid w:val="003001E1"/>
    <w:rsid w:val="00303CC4"/>
    <w:rsid w:val="00306F42"/>
    <w:rsid w:val="0031111E"/>
    <w:rsid w:val="00313C04"/>
    <w:rsid w:val="0032060D"/>
    <w:rsid w:val="00335E17"/>
    <w:rsid w:val="00341611"/>
    <w:rsid w:val="00345E65"/>
    <w:rsid w:val="003507B4"/>
    <w:rsid w:val="00360D4B"/>
    <w:rsid w:val="00361A97"/>
    <w:rsid w:val="00364ECF"/>
    <w:rsid w:val="00365E7C"/>
    <w:rsid w:val="003806E2"/>
    <w:rsid w:val="00386536"/>
    <w:rsid w:val="003908E6"/>
    <w:rsid w:val="00390A40"/>
    <w:rsid w:val="00394C4C"/>
    <w:rsid w:val="00396E15"/>
    <w:rsid w:val="003A192C"/>
    <w:rsid w:val="003A3A5A"/>
    <w:rsid w:val="003A4BC5"/>
    <w:rsid w:val="003A7ED1"/>
    <w:rsid w:val="003B297B"/>
    <w:rsid w:val="003D16EC"/>
    <w:rsid w:val="003D1AF6"/>
    <w:rsid w:val="003D3B97"/>
    <w:rsid w:val="003D7DFE"/>
    <w:rsid w:val="003F042F"/>
    <w:rsid w:val="00400365"/>
    <w:rsid w:val="00401BD6"/>
    <w:rsid w:val="004126D7"/>
    <w:rsid w:val="004161E0"/>
    <w:rsid w:val="004254CF"/>
    <w:rsid w:val="00426309"/>
    <w:rsid w:val="004319FB"/>
    <w:rsid w:val="00440303"/>
    <w:rsid w:val="00441265"/>
    <w:rsid w:val="00445A3D"/>
    <w:rsid w:val="004567BB"/>
    <w:rsid w:val="00460739"/>
    <w:rsid w:val="00460E9C"/>
    <w:rsid w:val="00466330"/>
    <w:rsid w:val="0047296C"/>
    <w:rsid w:val="00476941"/>
    <w:rsid w:val="00480FA7"/>
    <w:rsid w:val="004921F6"/>
    <w:rsid w:val="004958F0"/>
    <w:rsid w:val="004A4816"/>
    <w:rsid w:val="004D2C5A"/>
    <w:rsid w:val="004D61A6"/>
    <w:rsid w:val="004D67E9"/>
    <w:rsid w:val="004E1943"/>
    <w:rsid w:val="004E5A2D"/>
    <w:rsid w:val="00504B86"/>
    <w:rsid w:val="00505961"/>
    <w:rsid w:val="00505BE4"/>
    <w:rsid w:val="00515C38"/>
    <w:rsid w:val="00522424"/>
    <w:rsid w:val="00523AE9"/>
    <w:rsid w:val="00524585"/>
    <w:rsid w:val="00524B9A"/>
    <w:rsid w:val="005323D7"/>
    <w:rsid w:val="00544C10"/>
    <w:rsid w:val="0056451E"/>
    <w:rsid w:val="005715AE"/>
    <w:rsid w:val="00571A0E"/>
    <w:rsid w:val="00575966"/>
    <w:rsid w:val="00584A28"/>
    <w:rsid w:val="005864AA"/>
    <w:rsid w:val="005905B4"/>
    <w:rsid w:val="005946D8"/>
    <w:rsid w:val="00597C9F"/>
    <w:rsid w:val="005A3D27"/>
    <w:rsid w:val="005A5CCF"/>
    <w:rsid w:val="005B0F2F"/>
    <w:rsid w:val="005B1D68"/>
    <w:rsid w:val="005B5B1F"/>
    <w:rsid w:val="005C0B50"/>
    <w:rsid w:val="005C4160"/>
    <w:rsid w:val="005C4A26"/>
    <w:rsid w:val="005D6039"/>
    <w:rsid w:val="00601B20"/>
    <w:rsid w:val="006021A7"/>
    <w:rsid w:val="00610C26"/>
    <w:rsid w:val="00612EED"/>
    <w:rsid w:val="00613B67"/>
    <w:rsid w:val="00615FB4"/>
    <w:rsid w:val="006345B4"/>
    <w:rsid w:val="0063495D"/>
    <w:rsid w:val="00637297"/>
    <w:rsid w:val="006425AA"/>
    <w:rsid w:val="00643D07"/>
    <w:rsid w:val="006446C3"/>
    <w:rsid w:val="00647E72"/>
    <w:rsid w:val="00674BEF"/>
    <w:rsid w:val="0068089E"/>
    <w:rsid w:val="006857CD"/>
    <w:rsid w:val="00685CAA"/>
    <w:rsid w:val="006936C3"/>
    <w:rsid w:val="00693B87"/>
    <w:rsid w:val="006A02BB"/>
    <w:rsid w:val="006A12AA"/>
    <w:rsid w:val="006A2D10"/>
    <w:rsid w:val="006A2FDA"/>
    <w:rsid w:val="006A3293"/>
    <w:rsid w:val="006A58AF"/>
    <w:rsid w:val="006A7B1D"/>
    <w:rsid w:val="006B0CDC"/>
    <w:rsid w:val="006B4BC4"/>
    <w:rsid w:val="006B7D2C"/>
    <w:rsid w:val="006B7F5C"/>
    <w:rsid w:val="006D13B5"/>
    <w:rsid w:val="006D3DFA"/>
    <w:rsid w:val="006E41DC"/>
    <w:rsid w:val="006E4979"/>
    <w:rsid w:val="006E4E13"/>
    <w:rsid w:val="006E501C"/>
    <w:rsid w:val="006E7766"/>
    <w:rsid w:val="006F14EB"/>
    <w:rsid w:val="006F2FDD"/>
    <w:rsid w:val="00701829"/>
    <w:rsid w:val="00702F72"/>
    <w:rsid w:val="00704DBD"/>
    <w:rsid w:val="00711A58"/>
    <w:rsid w:val="0072171E"/>
    <w:rsid w:val="007264CB"/>
    <w:rsid w:val="00726B3B"/>
    <w:rsid w:val="0073323C"/>
    <w:rsid w:val="00735F36"/>
    <w:rsid w:val="0074051C"/>
    <w:rsid w:val="00743CA5"/>
    <w:rsid w:val="00744B50"/>
    <w:rsid w:val="00744CFF"/>
    <w:rsid w:val="00745C42"/>
    <w:rsid w:val="007521B5"/>
    <w:rsid w:val="00754404"/>
    <w:rsid w:val="0075469D"/>
    <w:rsid w:val="00762009"/>
    <w:rsid w:val="0076259D"/>
    <w:rsid w:val="007647CE"/>
    <w:rsid w:val="00781629"/>
    <w:rsid w:val="00784059"/>
    <w:rsid w:val="0078667B"/>
    <w:rsid w:val="00786EC3"/>
    <w:rsid w:val="00797C08"/>
    <w:rsid w:val="007A4634"/>
    <w:rsid w:val="007A7BC9"/>
    <w:rsid w:val="007B287B"/>
    <w:rsid w:val="007C44D7"/>
    <w:rsid w:val="007C7FA4"/>
    <w:rsid w:val="007D362F"/>
    <w:rsid w:val="007D5BE5"/>
    <w:rsid w:val="007D5DDA"/>
    <w:rsid w:val="007E6153"/>
    <w:rsid w:val="007F7B26"/>
    <w:rsid w:val="00814793"/>
    <w:rsid w:val="00821A7B"/>
    <w:rsid w:val="00822473"/>
    <w:rsid w:val="00825411"/>
    <w:rsid w:val="008267A9"/>
    <w:rsid w:val="00831189"/>
    <w:rsid w:val="00834283"/>
    <w:rsid w:val="008426BA"/>
    <w:rsid w:val="00847F17"/>
    <w:rsid w:val="008514A0"/>
    <w:rsid w:val="008520DA"/>
    <w:rsid w:val="0085251A"/>
    <w:rsid w:val="008545F1"/>
    <w:rsid w:val="008556CB"/>
    <w:rsid w:val="00857DFD"/>
    <w:rsid w:val="00860B74"/>
    <w:rsid w:val="00880679"/>
    <w:rsid w:val="0088079B"/>
    <w:rsid w:val="00885948"/>
    <w:rsid w:val="008A11D9"/>
    <w:rsid w:val="008A5AFE"/>
    <w:rsid w:val="008A6D84"/>
    <w:rsid w:val="008B1DBC"/>
    <w:rsid w:val="008B5AF8"/>
    <w:rsid w:val="008B7F94"/>
    <w:rsid w:val="008C440A"/>
    <w:rsid w:val="008E102D"/>
    <w:rsid w:val="008E3A4B"/>
    <w:rsid w:val="008E5CB9"/>
    <w:rsid w:val="008E6AD0"/>
    <w:rsid w:val="00900534"/>
    <w:rsid w:val="0090389D"/>
    <w:rsid w:val="00905847"/>
    <w:rsid w:val="00915C8A"/>
    <w:rsid w:val="009174AB"/>
    <w:rsid w:val="009174F9"/>
    <w:rsid w:val="00924920"/>
    <w:rsid w:val="00925D5E"/>
    <w:rsid w:val="0092622C"/>
    <w:rsid w:val="00927A2F"/>
    <w:rsid w:val="009347F6"/>
    <w:rsid w:val="00934B67"/>
    <w:rsid w:val="009363EE"/>
    <w:rsid w:val="00936DB2"/>
    <w:rsid w:val="00940559"/>
    <w:rsid w:val="0094086E"/>
    <w:rsid w:val="0094228A"/>
    <w:rsid w:val="00944659"/>
    <w:rsid w:val="00944B4C"/>
    <w:rsid w:val="00945C84"/>
    <w:rsid w:val="0095277D"/>
    <w:rsid w:val="00960ECD"/>
    <w:rsid w:val="00963FC9"/>
    <w:rsid w:val="00981FE5"/>
    <w:rsid w:val="00982FBE"/>
    <w:rsid w:val="00983F56"/>
    <w:rsid w:val="00984E54"/>
    <w:rsid w:val="00986295"/>
    <w:rsid w:val="00990D06"/>
    <w:rsid w:val="00996E5B"/>
    <w:rsid w:val="009A0CDF"/>
    <w:rsid w:val="009A17C4"/>
    <w:rsid w:val="009B5324"/>
    <w:rsid w:val="009B58C7"/>
    <w:rsid w:val="009B6F30"/>
    <w:rsid w:val="009C0431"/>
    <w:rsid w:val="009C389C"/>
    <w:rsid w:val="009C7578"/>
    <w:rsid w:val="009D2F79"/>
    <w:rsid w:val="009D6495"/>
    <w:rsid w:val="00A069DD"/>
    <w:rsid w:val="00A07C36"/>
    <w:rsid w:val="00A111AD"/>
    <w:rsid w:val="00A119DB"/>
    <w:rsid w:val="00A14D0B"/>
    <w:rsid w:val="00A1653A"/>
    <w:rsid w:val="00A178BE"/>
    <w:rsid w:val="00A2019A"/>
    <w:rsid w:val="00A223E3"/>
    <w:rsid w:val="00A2415B"/>
    <w:rsid w:val="00A251D2"/>
    <w:rsid w:val="00A51F25"/>
    <w:rsid w:val="00A61BDD"/>
    <w:rsid w:val="00A648C9"/>
    <w:rsid w:val="00A6577A"/>
    <w:rsid w:val="00A75B3E"/>
    <w:rsid w:val="00A87280"/>
    <w:rsid w:val="00A91ABD"/>
    <w:rsid w:val="00A933BE"/>
    <w:rsid w:val="00A96923"/>
    <w:rsid w:val="00AA2B1C"/>
    <w:rsid w:val="00AA474E"/>
    <w:rsid w:val="00AA6D36"/>
    <w:rsid w:val="00AB7BD7"/>
    <w:rsid w:val="00AD2C8D"/>
    <w:rsid w:val="00AD3B07"/>
    <w:rsid w:val="00AD3D14"/>
    <w:rsid w:val="00AE518A"/>
    <w:rsid w:val="00AE6A3C"/>
    <w:rsid w:val="00AF721E"/>
    <w:rsid w:val="00B13B2A"/>
    <w:rsid w:val="00B231E7"/>
    <w:rsid w:val="00B23372"/>
    <w:rsid w:val="00B2588C"/>
    <w:rsid w:val="00B26D20"/>
    <w:rsid w:val="00B303EC"/>
    <w:rsid w:val="00B3116A"/>
    <w:rsid w:val="00B36145"/>
    <w:rsid w:val="00B3688C"/>
    <w:rsid w:val="00B37569"/>
    <w:rsid w:val="00B41D61"/>
    <w:rsid w:val="00B531A5"/>
    <w:rsid w:val="00B57241"/>
    <w:rsid w:val="00B62C25"/>
    <w:rsid w:val="00B72E48"/>
    <w:rsid w:val="00B73183"/>
    <w:rsid w:val="00B7478F"/>
    <w:rsid w:val="00B748E7"/>
    <w:rsid w:val="00B765AB"/>
    <w:rsid w:val="00B82C55"/>
    <w:rsid w:val="00BA298E"/>
    <w:rsid w:val="00BA3728"/>
    <w:rsid w:val="00BA4EA1"/>
    <w:rsid w:val="00BB094A"/>
    <w:rsid w:val="00BC4382"/>
    <w:rsid w:val="00BD504E"/>
    <w:rsid w:val="00BE4445"/>
    <w:rsid w:val="00BF0D32"/>
    <w:rsid w:val="00BF1968"/>
    <w:rsid w:val="00BF25AA"/>
    <w:rsid w:val="00BF2FBD"/>
    <w:rsid w:val="00C005DE"/>
    <w:rsid w:val="00C00C58"/>
    <w:rsid w:val="00C02582"/>
    <w:rsid w:val="00C04C96"/>
    <w:rsid w:val="00C12270"/>
    <w:rsid w:val="00C23801"/>
    <w:rsid w:val="00C2775A"/>
    <w:rsid w:val="00C3341B"/>
    <w:rsid w:val="00C33AB8"/>
    <w:rsid w:val="00C3490B"/>
    <w:rsid w:val="00C36AE2"/>
    <w:rsid w:val="00C37493"/>
    <w:rsid w:val="00C4239C"/>
    <w:rsid w:val="00C45C16"/>
    <w:rsid w:val="00C4745C"/>
    <w:rsid w:val="00C54D9D"/>
    <w:rsid w:val="00C573CE"/>
    <w:rsid w:val="00C60611"/>
    <w:rsid w:val="00C6465B"/>
    <w:rsid w:val="00C66394"/>
    <w:rsid w:val="00C730EB"/>
    <w:rsid w:val="00C851A1"/>
    <w:rsid w:val="00C86469"/>
    <w:rsid w:val="00C87C01"/>
    <w:rsid w:val="00C93970"/>
    <w:rsid w:val="00CA4B1C"/>
    <w:rsid w:val="00CA6841"/>
    <w:rsid w:val="00CA7CB0"/>
    <w:rsid w:val="00CB38E5"/>
    <w:rsid w:val="00CC15B0"/>
    <w:rsid w:val="00CC785F"/>
    <w:rsid w:val="00CF29BA"/>
    <w:rsid w:val="00CF315B"/>
    <w:rsid w:val="00CF3D80"/>
    <w:rsid w:val="00CF4AD7"/>
    <w:rsid w:val="00CF7605"/>
    <w:rsid w:val="00CF7F78"/>
    <w:rsid w:val="00D00F59"/>
    <w:rsid w:val="00D10A98"/>
    <w:rsid w:val="00D17087"/>
    <w:rsid w:val="00D220A0"/>
    <w:rsid w:val="00D27F80"/>
    <w:rsid w:val="00D33630"/>
    <w:rsid w:val="00D37953"/>
    <w:rsid w:val="00D41963"/>
    <w:rsid w:val="00D47FBE"/>
    <w:rsid w:val="00D71BF5"/>
    <w:rsid w:val="00D75D6E"/>
    <w:rsid w:val="00D81135"/>
    <w:rsid w:val="00D909FA"/>
    <w:rsid w:val="00D95274"/>
    <w:rsid w:val="00DA11BB"/>
    <w:rsid w:val="00DA188E"/>
    <w:rsid w:val="00DA632B"/>
    <w:rsid w:val="00DB071D"/>
    <w:rsid w:val="00DB0D65"/>
    <w:rsid w:val="00DC3B5C"/>
    <w:rsid w:val="00DC4AC5"/>
    <w:rsid w:val="00DC5CF9"/>
    <w:rsid w:val="00DD0B50"/>
    <w:rsid w:val="00DD1165"/>
    <w:rsid w:val="00DD1E81"/>
    <w:rsid w:val="00DE050B"/>
    <w:rsid w:val="00DE5211"/>
    <w:rsid w:val="00DF7DD7"/>
    <w:rsid w:val="00E047A5"/>
    <w:rsid w:val="00E06C99"/>
    <w:rsid w:val="00E11211"/>
    <w:rsid w:val="00E12761"/>
    <w:rsid w:val="00E162C2"/>
    <w:rsid w:val="00E218BB"/>
    <w:rsid w:val="00E22C5B"/>
    <w:rsid w:val="00E2411D"/>
    <w:rsid w:val="00E3036B"/>
    <w:rsid w:val="00E319EC"/>
    <w:rsid w:val="00E337E2"/>
    <w:rsid w:val="00E354F2"/>
    <w:rsid w:val="00E359B4"/>
    <w:rsid w:val="00E36B3E"/>
    <w:rsid w:val="00E44CA8"/>
    <w:rsid w:val="00E511AB"/>
    <w:rsid w:val="00E574A1"/>
    <w:rsid w:val="00E71D50"/>
    <w:rsid w:val="00E769A2"/>
    <w:rsid w:val="00E85880"/>
    <w:rsid w:val="00E859DA"/>
    <w:rsid w:val="00E87B36"/>
    <w:rsid w:val="00E91F08"/>
    <w:rsid w:val="00E947F0"/>
    <w:rsid w:val="00E94D16"/>
    <w:rsid w:val="00E97D50"/>
    <w:rsid w:val="00EA47D3"/>
    <w:rsid w:val="00EA488F"/>
    <w:rsid w:val="00EA68D8"/>
    <w:rsid w:val="00EB2A04"/>
    <w:rsid w:val="00EC1F34"/>
    <w:rsid w:val="00ED0ACB"/>
    <w:rsid w:val="00ED6C2B"/>
    <w:rsid w:val="00EE4321"/>
    <w:rsid w:val="00EF027B"/>
    <w:rsid w:val="00EF7EB3"/>
    <w:rsid w:val="00F03760"/>
    <w:rsid w:val="00F064AC"/>
    <w:rsid w:val="00F1062A"/>
    <w:rsid w:val="00F10909"/>
    <w:rsid w:val="00F13114"/>
    <w:rsid w:val="00F13AC3"/>
    <w:rsid w:val="00F23460"/>
    <w:rsid w:val="00F30FCB"/>
    <w:rsid w:val="00F3381C"/>
    <w:rsid w:val="00F372C7"/>
    <w:rsid w:val="00F37B55"/>
    <w:rsid w:val="00F413DD"/>
    <w:rsid w:val="00F45BB7"/>
    <w:rsid w:val="00F529EE"/>
    <w:rsid w:val="00F52BF2"/>
    <w:rsid w:val="00F5400B"/>
    <w:rsid w:val="00F55104"/>
    <w:rsid w:val="00F600D8"/>
    <w:rsid w:val="00F6013C"/>
    <w:rsid w:val="00F62652"/>
    <w:rsid w:val="00F645CB"/>
    <w:rsid w:val="00F84012"/>
    <w:rsid w:val="00F905AD"/>
    <w:rsid w:val="00F9063E"/>
    <w:rsid w:val="00FA12AA"/>
    <w:rsid w:val="00FA316A"/>
    <w:rsid w:val="00FA66F5"/>
    <w:rsid w:val="00FA75B1"/>
    <w:rsid w:val="00FC2E48"/>
    <w:rsid w:val="00FC6E0C"/>
    <w:rsid w:val="00FD113B"/>
    <w:rsid w:val="00FD4D7B"/>
    <w:rsid w:val="00FE374D"/>
    <w:rsid w:val="00FF0411"/>
    <w:rsid w:val="00FF1F4A"/>
    <w:rsid w:val="00FF2F3A"/>
    <w:rsid w:val="00FF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C5A31"/>
  <w15:chartTrackingRefBased/>
  <w15:docId w15:val="{D67652B0-CECD-4487-B956-5C85A763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411"/>
    <w:pPr>
      <w:spacing w:after="200" w:line="276" w:lineRule="auto"/>
    </w:pPr>
    <w:rPr>
      <w:rFonts w:eastAsiaTheme="minorEastAsia"/>
      <w:kern w:val="0"/>
      <w:lang w:val="en-CA" w:eastAsia="en-CA"/>
      <w14:ligatures w14:val="none"/>
    </w:rPr>
  </w:style>
  <w:style w:type="paragraph" w:styleId="Heading1">
    <w:name w:val="heading 1"/>
    <w:basedOn w:val="Normal"/>
    <w:next w:val="Normal"/>
    <w:link w:val="Heading1Char"/>
    <w:uiPriority w:val="9"/>
    <w:qFormat/>
    <w:rsid w:val="0082541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411"/>
    <w:rPr>
      <w:rFonts w:asciiTheme="majorHAnsi" w:eastAsiaTheme="majorEastAsia" w:hAnsiTheme="majorHAnsi" w:cstheme="majorBidi"/>
      <w:b/>
      <w:bCs/>
      <w:color w:val="2F5496" w:themeColor="accent1" w:themeShade="BF"/>
      <w:kern w:val="0"/>
      <w:sz w:val="28"/>
      <w:szCs w:val="28"/>
      <w:lang w:val="en-CA" w:eastAsia="en-CA"/>
      <w14:ligatures w14:val="none"/>
    </w:rPr>
  </w:style>
  <w:style w:type="table" w:styleId="TableGrid">
    <w:name w:val="Table Grid"/>
    <w:basedOn w:val="TableNormal"/>
    <w:uiPriority w:val="59"/>
    <w:rsid w:val="00825411"/>
    <w:pPr>
      <w:spacing w:after="0" w:line="240" w:lineRule="auto"/>
    </w:pPr>
    <w:rPr>
      <w:rFonts w:eastAsiaTheme="minorEastAsia"/>
      <w:kern w:val="0"/>
      <w:lang w:val="en-CA"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5411"/>
    <w:pPr>
      <w:tabs>
        <w:tab w:val="center" w:pos="4703"/>
        <w:tab w:val="right" w:pos="9406"/>
      </w:tabs>
      <w:spacing w:after="0" w:line="240" w:lineRule="auto"/>
    </w:pPr>
  </w:style>
  <w:style w:type="character" w:customStyle="1" w:styleId="HeaderChar">
    <w:name w:val="Header Char"/>
    <w:basedOn w:val="DefaultParagraphFont"/>
    <w:link w:val="Header"/>
    <w:uiPriority w:val="99"/>
    <w:rsid w:val="00825411"/>
    <w:rPr>
      <w:rFonts w:eastAsiaTheme="minorEastAsia"/>
      <w:kern w:val="0"/>
      <w:lang w:val="en-CA" w:eastAsia="en-CA"/>
      <w14:ligatures w14:val="none"/>
    </w:rPr>
  </w:style>
  <w:style w:type="paragraph" w:styleId="Footer">
    <w:name w:val="footer"/>
    <w:basedOn w:val="Normal"/>
    <w:link w:val="FooterChar"/>
    <w:uiPriority w:val="99"/>
    <w:unhideWhenUsed/>
    <w:rsid w:val="00825411"/>
    <w:pPr>
      <w:tabs>
        <w:tab w:val="center" w:pos="4703"/>
        <w:tab w:val="right" w:pos="9406"/>
      </w:tabs>
      <w:spacing w:after="0" w:line="240" w:lineRule="auto"/>
    </w:pPr>
  </w:style>
  <w:style w:type="character" w:customStyle="1" w:styleId="FooterChar">
    <w:name w:val="Footer Char"/>
    <w:basedOn w:val="DefaultParagraphFont"/>
    <w:link w:val="Footer"/>
    <w:uiPriority w:val="99"/>
    <w:rsid w:val="00825411"/>
    <w:rPr>
      <w:rFonts w:eastAsiaTheme="minorEastAsia"/>
      <w:kern w:val="0"/>
      <w:lang w:val="en-CA" w:eastAsia="en-CA"/>
      <w14:ligatures w14:val="none"/>
    </w:rPr>
  </w:style>
  <w:style w:type="character" w:styleId="Hyperlink">
    <w:name w:val="Hyperlink"/>
    <w:basedOn w:val="DefaultParagraphFont"/>
    <w:uiPriority w:val="99"/>
    <w:unhideWhenUsed/>
    <w:rsid w:val="00825411"/>
    <w:rPr>
      <w:color w:val="0563C1" w:themeColor="hyperlink"/>
      <w:u w:val="single"/>
    </w:rPr>
  </w:style>
  <w:style w:type="paragraph" w:styleId="NormalWeb">
    <w:name w:val="Normal (Web)"/>
    <w:basedOn w:val="Normal"/>
    <w:uiPriority w:val="99"/>
    <w:semiHidden/>
    <w:unhideWhenUsed/>
    <w:rsid w:val="007217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ascap.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69E17-CE6D-4CE1-9858-B523EFC08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4589</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Financial analyst</dc:creator>
  <cp:keywords/>
  <dc:description/>
  <cp:lastModifiedBy>Aspermont Portfolio Management</cp:lastModifiedBy>
  <cp:revision>4</cp:revision>
  <cp:lastPrinted>2026-10-02T12:06:00Z</cp:lastPrinted>
  <dcterms:created xsi:type="dcterms:W3CDTF">2026-08-11T07:34:00Z</dcterms:created>
  <dcterms:modified xsi:type="dcterms:W3CDTF">2026-10-02T12:41:00Z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5b4b3770f2024bbc7f0032c7cec8a064529e3e17c05e680f8c734955d707d645</vt:lpwstr>
  </property>
</Properties>
</file>