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single" w:sz="4" w:space="0" w:color="C00000"/>
          <w:right w:val="none" w:sz="0" w:space="0" w:color="auto"/>
          <w:insideH w:val="none" w:sz="0" w:space="0" w:color="auto"/>
          <w:insideV w:val="none" w:sz="0" w:space="0" w:color="auto"/>
        </w:tblBorders>
        <w:tblLook w:val="04A0" w:firstRow="1" w:lastRow="0" w:firstColumn="1" w:lastColumn="0" w:noHBand="0" w:noVBand="1"/>
      </w:tblPr>
      <w:tblGrid>
        <w:gridCol w:w="9212"/>
      </w:tblGrid>
      <w:tr w:rsidR="00825411" w:rsidRPr="006047A5" w14:paraId="1E0E1822" w14:textId="77777777">
        <w:tc>
          <w:tcPr>
            <w:tcW w:w="9212" w:type="dxa"/>
          </w:tcPr>
          <w:p w14:paraId="7044E4E5" w14:textId="1C54E2B2" w:rsidR="00825411" w:rsidRPr="00835938" w:rsidRDefault="00825411" w:rsidP="003A7ED1">
            <w:pPr>
              <w:pStyle w:val="Heading1"/>
              <w:spacing w:before="0"/>
              <w:rPr>
                <w:rFonts w:asciiTheme="minorHAnsi" w:hAnsiTheme="minorHAnsi"/>
                <w:color w:val="C00000"/>
                <w:sz w:val="48"/>
                <w:lang w:val="en-US"/>
              </w:rPr>
            </w:pPr>
            <w:r w:rsidRPr="00132966">
              <w:rPr>
                <w:rFonts w:asciiTheme="minorHAnsi" w:hAnsiTheme="minorHAnsi"/>
                <w:color w:val="C00000"/>
                <w:sz w:val="48"/>
                <w:lang w:val="en-US"/>
              </w:rPr>
              <w:t>AMC Aspermont Dividend Stock Basket</w:t>
            </w:r>
          </w:p>
        </w:tc>
      </w:tr>
    </w:tbl>
    <w:p w14:paraId="1DC09C68" w14:textId="618D4F4A" w:rsidR="00825411" w:rsidRPr="00BE59E1" w:rsidRDefault="00825411" w:rsidP="00825411">
      <w:pPr>
        <w:spacing w:before="120" w:after="120"/>
        <w:jc w:val="center"/>
        <w:rPr>
          <w:rFonts w:ascii="Calibri" w:hAnsi="Calibri" w:cs="Calibri"/>
          <w:b/>
          <w:sz w:val="24"/>
          <w:lang w:val="en-US"/>
        </w:rPr>
      </w:pPr>
      <w:r w:rsidRPr="00BE59E1">
        <w:rPr>
          <w:rFonts w:ascii="Calibri" w:hAnsi="Calibri" w:cs="Calibri"/>
          <w:b/>
          <w:sz w:val="24"/>
          <w:lang w:val="en-US"/>
        </w:rPr>
        <w:t xml:space="preserve">Product update as of </w:t>
      </w:r>
      <w:r w:rsidR="004E5A2D">
        <w:rPr>
          <w:rFonts w:ascii="Calibri" w:hAnsi="Calibri" w:cs="Calibri"/>
          <w:b/>
          <w:sz w:val="24"/>
          <w:lang w:val="en-US"/>
        </w:rPr>
        <w:t>August</w:t>
      </w:r>
      <w:r w:rsidR="006A2FDA">
        <w:rPr>
          <w:rFonts w:ascii="Calibri" w:hAnsi="Calibri" w:cs="Calibri"/>
          <w:b/>
          <w:sz w:val="24"/>
          <w:lang w:val="en-US"/>
        </w:rPr>
        <w:t xml:space="preserve"> 3</w:t>
      </w:r>
      <w:r w:rsidR="00B531A5">
        <w:rPr>
          <w:rFonts w:ascii="Calibri" w:hAnsi="Calibri" w:cs="Calibri"/>
          <w:b/>
          <w:sz w:val="24"/>
          <w:lang w:val="en-US"/>
        </w:rPr>
        <w:t>1</w:t>
      </w:r>
      <w:r w:rsidR="00E12761">
        <w:rPr>
          <w:rFonts w:ascii="Calibri" w:hAnsi="Calibri" w:cs="Calibri"/>
          <w:b/>
          <w:sz w:val="24"/>
          <w:lang w:val="en-US"/>
        </w:rPr>
        <w:t>,</w:t>
      </w:r>
      <w:r w:rsidRPr="00BE59E1">
        <w:rPr>
          <w:rFonts w:ascii="Calibri" w:hAnsi="Calibri" w:cs="Calibri"/>
          <w:b/>
          <w:sz w:val="24"/>
          <w:lang w:val="en-US"/>
        </w:rPr>
        <w:t xml:space="preserve"> 202</w:t>
      </w:r>
      <w:r w:rsidR="006D3DFA">
        <w:rPr>
          <w:rFonts w:ascii="Calibri" w:hAnsi="Calibri" w:cs="Calibri"/>
          <w:b/>
          <w:sz w:val="24"/>
          <w:lang w:val="en-US"/>
        </w:rPr>
        <w:t>6</w:t>
      </w:r>
      <w:r w:rsidRPr="00BE59E1">
        <w:rPr>
          <w:rFonts w:ascii="Calibri" w:hAnsi="Calibri" w:cs="Calibri"/>
          <w:b/>
          <w:sz w:val="24"/>
          <w:lang w:val="en-US"/>
        </w:rPr>
        <w:tab/>
      </w:r>
    </w:p>
    <w:p w14:paraId="013D0346" w14:textId="1C9E7A37" w:rsidR="00825411" w:rsidRPr="003D1AF6" w:rsidRDefault="00825411" w:rsidP="00825411">
      <w:pPr>
        <w:spacing w:after="0"/>
        <w:rPr>
          <w:rFonts w:ascii="Calibri" w:hAnsi="Calibri" w:cs="Calibri"/>
          <w:b/>
          <w:sz w:val="18"/>
          <w:lang w:val="en-US"/>
        </w:rPr>
      </w:pPr>
      <w:r w:rsidRPr="00BE59E1">
        <w:rPr>
          <w:rFonts w:ascii="Calibri" w:hAnsi="Calibri" w:cs="Calibri"/>
          <w:b/>
          <w:sz w:val="18"/>
          <w:lang w:val="en-US"/>
        </w:rPr>
        <w:t xml:space="preserve">NAV per </w:t>
      </w:r>
      <w:r w:rsidRPr="00182A34">
        <w:rPr>
          <w:rFonts w:ascii="Calibri" w:hAnsi="Calibri" w:cs="Calibri"/>
          <w:b/>
          <w:sz w:val="18"/>
          <w:lang w:val="en-US"/>
        </w:rPr>
        <w:t>share (</w:t>
      </w:r>
      <w:r w:rsidR="004E5A2D">
        <w:rPr>
          <w:rFonts w:ascii="Calibri" w:hAnsi="Calibri" w:cs="Calibri"/>
          <w:b/>
          <w:sz w:val="18"/>
          <w:lang w:val="en-US"/>
        </w:rPr>
        <w:t>August 31</w:t>
      </w:r>
      <w:r w:rsidRPr="00182A34">
        <w:rPr>
          <w:rFonts w:ascii="Calibri" w:hAnsi="Calibri" w:cs="Calibri"/>
          <w:b/>
          <w:sz w:val="18"/>
          <w:lang w:val="en-US"/>
        </w:rPr>
        <w:t>, 202</w:t>
      </w:r>
      <w:r w:rsidR="006D3DFA">
        <w:rPr>
          <w:rFonts w:ascii="Calibri" w:hAnsi="Calibri" w:cs="Calibri"/>
          <w:b/>
          <w:sz w:val="18"/>
          <w:lang w:val="en-US"/>
        </w:rPr>
        <w:t>6</w:t>
      </w:r>
      <w:r w:rsidRPr="00182A34">
        <w:rPr>
          <w:rFonts w:ascii="Calibri" w:hAnsi="Calibri" w:cs="Calibri"/>
          <w:b/>
          <w:sz w:val="18"/>
          <w:lang w:val="en-US"/>
        </w:rPr>
        <w:t xml:space="preserve">): </w:t>
      </w:r>
      <w:bookmarkStart w:id="0" w:name="_Hlk155621766"/>
      <w:r w:rsidR="007264CB" w:rsidRPr="00182A34">
        <w:rPr>
          <w:b/>
          <w:sz w:val="18"/>
          <w:lang w:val="en-US"/>
        </w:rPr>
        <w:t xml:space="preserve">EUR </w:t>
      </w:r>
      <w:r w:rsidR="004E5A2D">
        <w:rPr>
          <w:b/>
          <w:sz w:val="18"/>
          <w:lang w:val="en-US"/>
        </w:rPr>
        <w:t>221.97</w:t>
      </w:r>
      <w:r w:rsidR="007264CB" w:rsidRPr="00182A34">
        <w:rPr>
          <w:b/>
          <w:sz w:val="18"/>
          <w:lang w:val="en-US"/>
        </w:rPr>
        <w:t xml:space="preserve">, monthly </w:t>
      </w:r>
      <w:r w:rsidR="007264CB" w:rsidRPr="003D1AF6">
        <w:rPr>
          <w:b/>
          <w:sz w:val="18"/>
          <w:lang w:val="en-US"/>
        </w:rPr>
        <w:t>performance</w:t>
      </w:r>
      <w:bookmarkEnd w:id="0"/>
      <w:r w:rsidRPr="003D1AF6">
        <w:rPr>
          <w:rFonts w:ascii="Calibri" w:hAnsi="Calibri" w:cs="Calibri"/>
          <w:b/>
          <w:sz w:val="18"/>
          <w:lang w:val="en-US"/>
        </w:rPr>
        <w:t xml:space="preserve">: </w:t>
      </w:r>
      <w:r w:rsidR="006446C3">
        <w:rPr>
          <w:rFonts w:ascii="Calibri" w:hAnsi="Calibri" w:cs="Calibri"/>
          <w:b/>
          <w:sz w:val="18"/>
          <w:lang w:val="en-US"/>
        </w:rPr>
        <w:t>0.55</w:t>
      </w:r>
      <w:r w:rsidRPr="003D1AF6">
        <w:rPr>
          <w:rFonts w:ascii="Calibri" w:hAnsi="Calibri" w:cs="Calibri"/>
          <w:b/>
          <w:sz w:val="18"/>
          <w:lang w:val="en-US"/>
        </w:rPr>
        <w:t>%, YTD:</w:t>
      </w:r>
      <w:r w:rsidR="006A2FDA">
        <w:rPr>
          <w:rFonts w:ascii="Calibri" w:hAnsi="Calibri" w:cs="Calibri"/>
          <w:b/>
          <w:sz w:val="18"/>
          <w:lang w:val="en-US"/>
        </w:rPr>
        <w:t>1</w:t>
      </w:r>
      <w:r w:rsidR="00B531A5">
        <w:rPr>
          <w:rFonts w:ascii="Calibri" w:hAnsi="Calibri" w:cs="Calibri"/>
          <w:b/>
          <w:sz w:val="18"/>
          <w:lang w:val="en-US"/>
        </w:rPr>
        <w:t>2</w:t>
      </w:r>
      <w:r w:rsidR="006A2FDA">
        <w:rPr>
          <w:rFonts w:ascii="Calibri" w:hAnsi="Calibri" w:cs="Calibri"/>
          <w:b/>
          <w:sz w:val="18"/>
          <w:lang w:val="en-US"/>
        </w:rPr>
        <w:t>.</w:t>
      </w:r>
      <w:r w:rsidR="006446C3">
        <w:rPr>
          <w:rFonts w:ascii="Calibri" w:hAnsi="Calibri" w:cs="Calibri"/>
          <w:b/>
          <w:sz w:val="18"/>
          <w:lang w:val="en-US"/>
        </w:rPr>
        <w:t>65</w:t>
      </w:r>
      <w:r w:rsidRPr="003D1AF6">
        <w:rPr>
          <w:rFonts w:ascii="Calibri" w:hAnsi="Calibri" w:cs="Calibri"/>
          <w:b/>
          <w:sz w:val="18"/>
          <w:lang w:val="en-US"/>
        </w:rPr>
        <w:t>%,</w:t>
      </w:r>
      <w:r w:rsidR="009174AB" w:rsidRPr="003D1AF6">
        <w:rPr>
          <w:rFonts w:ascii="Calibri" w:hAnsi="Calibri" w:cs="Calibri"/>
          <w:b/>
          <w:sz w:val="18"/>
          <w:lang w:val="en-US"/>
        </w:rPr>
        <w:t xml:space="preserve"> </w:t>
      </w:r>
      <w:r w:rsidRPr="003D1AF6">
        <w:rPr>
          <w:rFonts w:ascii="Calibri" w:hAnsi="Calibri" w:cs="Calibri"/>
          <w:b/>
          <w:sz w:val="18"/>
          <w:lang w:val="en-US"/>
        </w:rPr>
        <w:t>since inception: +</w:t>
      </w:r>
      <w:r w:rsidR="006A2FDA">
        <w:rPr>
          <w:rFonts w:ascii="Calibri" w:hAnsi="Calibri" w:cs="Calibri"/>
          <w:b/>
          <w:sz w:val="18"/>
          <w:lang w:val="en-US"/>
        </w:rPr>
        <w:t>1</w:t>
      </w:r>
      <w:r w:rsidR="009174F9">
        <w:rPr>
          <w:rFonts w:ascii="Calibri" w:hAnsi="Calibri" w:cs="Calibri"/>
          <w:b/>
          <w:sz w:val="18"/>
          <w:lang w:val="en-US"/>
        </w:rPr>
        <w:t>2</w:t>
      </w:r>
      <w:r w:rsidR="006446C3">
        <w:rPr>
          <w:rFonts w:ascii="Calibri" w:hAnsi="Calibri" w:cs="Calibri"/>
          <w:b/>
          <w:sz w:val="18"/>
          <w:lang w:val="en-US"/>
        </w:rPr>
        <w:t>1</w:t>
      </w:r>
      <w:r w:rsidR="006A2FDA">
        <w:rPr>
          <w:rFonts w:ascii="Calibri" w:hAnsi="Calibri" w:cs="Calibri"/>
          <w:b/>
          <w:sz w:val="18"/>
          <w:lang w:val="en-US"/>
        </w:rPr>
        <w:t>.</w:t>
      </w:r>
      <w:r w:rsidR="006446C3">
        <w:rPr>
          <w:rFonts w:ascii="Calibri" w:hAnsi="Calibri" w:cs="Calibri"/>
          <w:b/>
          <w:sz w:val="18"/>
          <w:lang w:val="en-US"/>
        </w:rPr>
        <w:t>53</w:t>
      </w:r>
      <w:r w:rsidR="00DA188E" w:rsidRPr="003D1AF6">
        <w:rPr>
          <w:rFonts w:ascii="Calibri" w:hAnsi="Calibri" w:cs="Calibri"/>
          <w:b/>
          <w:sz w:val="18"/>
          <w:lang w:val="en-US"/>
        </w:rPr>
        <w:t>%</w:t>
      </w:r>
    </w:p>
    <w:p w14:paraId="1CB33E78" w14:textId="5FB04459" w:rsidR="00825411" w:rsidRPr="00BE59E1" w:rsidRDefault="00825411" w:rsidP="00825411">
      <w:pPr>
        <w:pStyle w:val="Heading1"/>
        <w:spacing w:before="240" w:after="120" w:line="240" w:lineRule="auto"/>
        <w:rPr>
          <w:rFonts w:ascii="Calibri" w:hAnsi="Calibri" w:cs="Calibri"/>
          <w:color w:val="C00000"/>
          <w:sz w:val="24"/>
          <w:lang w:val="en-US"/>
        </w:rPr>
      </w:pPr>
      <w:r w:rsidRPr="00BE59E1">
        <w:rPr>
          <w:rFonts w:ascii="Calibri" w:hAnsi="Calibri" w:cs="Calibri"/>
          <w:color w:val="C00000"/>
          <w:sz w:val="24"/>
          <w:lang w:val="en-US"/>
        </w:rPr>
        <w:t>The Aspermont Dividend Stock Basket</w:t>
      </w:r>
      <w:r w:rsidR="00186358">
        <w:rPr>
          <w:rFonts w:ascii="Calibri" w:hAnsi="Calibri" w:cs="Calibri"/>
          <w:color w:val="C00000"/>
          <w:sz w:val="24"/>
          <w:lang w:val="en-US"/>
        </w:rPr>
        <w:t xml:space="preserve"> </w:t>
      </w:r>
    </w:p>
    <w:p w14:paraId="221E374F" w14:textId="1B25E1B0" w:rsidR="00825411" w:rsidRPr="003A7ED1" w:rsidRDefault="00825411" w:rsidP="003A7ED1">
      <w:pPr>
        <w:spacing w:line="240" w:lineRule="auto"/>
        <w:jc w:val="both"/>
        <w:rPr>
          <w:rFonts w:ascii="Calibri" w:hAnsi="Calibri" w:cs="Calibri"/>
          <w:sz w:val="16"/>
          <w:szCs w:val="16"/>
          <w:lang w:val="en-US"/>
        </w:rPr>
      </w:pPr>
      <w:r w:rsidRPr="00A1740E">
        <w:rPr>
          <w:rFonts w:ascii="Calibri" w:hAnsi="Calibri" w:cs="Calibri"/>
          <w:sz w:val="16"/>
          <w:szCs w:val="16"/>
          <w:lang w:val="en-US"/>
        </w:rPr>
        <w:t xml:space="preserve">The Actively Managed (Strategy) Certificate (AMC) linked to the Aspermont Capital Dividend Stock Basket provides </w:t>
      </w:r>
      <w:proofErr w:type="gramStart"/>
      <w:r w:rsidRPr="00A1740E">
        <w:rPr>
          <w:rFonts w:ascii="Calibri" w:hAnsi="Calibri" w:cs="Calibri"/>
          <w:sz w:val="16"/>
          <w:szCs w:val="16"/>
          <w:lang w:val="en-US"/>
        </w:rPr>
        <w:t>investors</w:t>
      </w:r>
      <w:proofErr w:type="gramEnd"/>
      <w:r w:rsidRPr="00A1740E">
        <w:rPr>
          <w:rFonts w:ascii="Calibri" w:hAnsi="Calibri" w:cs="Calibri"/>
          <w:sz w:val="16"/>
          <w:szCs w:val="16"/>
          <w:lang w:val="en-US"/>
        </w:rPr>
        <w:t xml:space="preserve"> access to a broadly diversified portfolio of around 30 attractive value stocks. We particularly seek out companies with stable or growing dividends and payout ratios, driven by healthy balance sheet structures and sustainable revenue and earnings growth. While screening for such quantitative elements as margin growth, free cash flow and debt-to-equity ratios, qualitative aspects like management performance and corporate strategy are also included in our selection process. A minimum of 80% of the portfolio will be invested in large cap names with market capitalizations of over EUR 10 billion.</w:t>
      </w:r>
      <w:r w:rsidR="00693B87">
        <w:rPr>
          <w:rFonts w:ascii="Calibri" w:hAnsi="Calibri" w:cs="Calibri"/>
          <w:sz w:val="16"/>
          <w:szCs w:val="16"/>
          <w:lang w:val="en-US"/>
        </w:rPr>
        <w:t xml:space="preserve">  </w:t>
      </w:r>
    </w:p>
    <w:p w14:paraId="3DAED8D4" w14:textId="03B9B905" w:rsidR="00825411" w:rsidRPr="00A1740E" w:rsidRDefault="00825411" w:rsidP="00825411">
      <w:pPr>
        <w:spacing w:after="0" w:line="240" w:lineRule="auto"/>
        <w:jc w:val="both"/>
        <w:rPr>
          <w:b/>
          <w:bCs/>
          <w:color w:val="C00000"/>
          <w:sz w:val="24"/>
          <w:lang w:val="en-US"/>
        </w:rPr>
      </w:pPr>
      <w:r w:rsidRPr="00227BD9">
        <w:rPr>
          <w:b/>
          <w:bCs/>
          <w:color w:val="C00000"/>
          <w:sz w:val="24"/>
          <w:lang w:val="en-US"/>
        </w:rPr>
        <w:t>Manager’s Comment</w:t>
      </w:r>
    </w:p>
    <w:tbl>
      <w:tblPr>
        <w:tblStyle w:val="TableGrid"/>
        <w:tblW w:w="92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4563"/>
        <w:gridCol w:w="160"/>
        <w:gridCol w:w="4516"/>
      </w:tblGrid>
      <w:tr w:rsidR="00825411" w:rsidRPr="002F035F" w14:paraId="0ED9987F" w14:textId="77777777">
        <w:trPr>
          <w:trHeight w:val="892"/>
        </w:trPr>
        <w:tc>
          <w:tcPr>
            <w:tcW w:w="4570" w:type="dxa"/>
          </w:tcPr>
          <w:p w14:paraId="6A90520D" w14:textId="2B0F9370" w:rsidR="00744CFF" w:rsidRPr="0072171E" w:rsidRDefault="007E6153" w:rsidP="00523AE9">
            <w:pPr>
              <w:tabs>
                <w:tab w:val="left" w:pos="6073"/>
              </w:tabs>
              <w:suppressAutoHyphens/>
              <w:spacing w:after="120" w:line="240" w:lineRule="auto"/>
              <w:ind w:left="-74"/>
              <w:jc w:val="both"/>
              <w:rPr>
                <w:rFonts w:ascii="Calibri" w:hAnsi="Calibri" w:cs="Calibri"/>
                <w:sz w:val="16"/>
                <w:szCs w:val="16"/>
                <w:lang w:val="en-US"/>
              </w:rPr>
            </w:pPr>
            <w:r w:rsidRPr="00C36AE2">
              <w:rPr>
                <w:rFonts w:ascii="Calibri" w:hAnsi="Calibri" w:cs="Calibri"/>
                <w:sz w:val="16"/>
                <w:szCs w:val="16"/>
                <w:lang w:val="en-US"/>
              </w:rPr>
              <w:t xml:space="preserve">In </w:t>
            </w:r>
            <w:r w:rsidR="006446C3">
              <w:rPr>
                <w:rFonts w:ascii="Calibri" w:hAnsi="Calibri" w:cs="Calibri"/>
                <w:sz w:val="16"/>
                <w:szCs w:val="16"/>
                <w:lang w:val="en-US"/>
              </w:rPr>
              <w:t>August</w:t>
            </w:r>
            <w:r w:rsidR="00523AE9" w:rsidRPr="00C36AE2">
              <w:rPr>
                <w:rFonts w:ascii="Calibri" w:hAnsi="Calibri" w:cs="Calibri"/>
                <w:sz w:val="16"/>
                <w:szCs w:val="16"/>
                <w:lang w:val="en-US"/>
              </w:rPr>
              <w:t xml:space="preserve">, the Dividend Basket delivered a performance of </w:t>
            </w:r>
            <w:r w:rsidR="006446C3">
              <w:rPr>
                <w:rFonts w:ascii="Calibri" w:hAnsi="Calibri" w:cs="Calibri"/>
                <w:sz w:val="16"/>
                <w:szCs w:val="16"/>
                <w:lang w:val="en-US"/>
              </w:rPr>
              <w:t>0.55%</w:t>
            </w:r>
            <w:r w:rsidR="00E12761" w:rsidRPr="00C36AE2">
              <w:rPr>
                <w:rFonts w:ascii="Calibri" w:hAnsi="Calibri" w:cs="Calibri"/>
                <w:sz w:val="16"/>
                <w:szCs w:val="16"/>
                <w:lang w:val="en-US"/>
              </w:rPr>
              <w:t xml:space="preserve">. </w:t>
            </w:r>
            <w:r w:rsidR="006446C3">
              <w:rPr>
                <w:rFonts w:ascii="Calibri" w:hAnsi="Calibri" w:cs="Calibri"/>
                <w:sz w:val="16"/>
                <w:szCs w:val="16"/>
                <w:lang w:val="en-US"/>
              </w:rPr>
              <w:t>The conflict is still ongoing and the and the</w:t>
            </w:r>
            <w:r w:rsidR="006A2FDA" w:rsidRPr="00C36AE2">
              <w:rPr>
                <w:rFonts w:ascii="Calibri" w:hAnsi="Calibri" w:cs="Calibri"/>
                <w:sz w:val="16"/>
                <w:szCs w:val="16"/>
                <w:lang w:val="en-US"/>
              </w:rPr>
              <w:t xml:space="preserve"> major markets </w:t>
            </w:r>
            <w:r w:rsidR="00AD3D14" w:rsidRPr="00C36AE2">
              <w:rPr>
                <w:rFonts w:ascii="Calibri" w:hAnsi="Calibri" w:cs="Calibri"/>
                <w:sz w:val="16"/>
                <w:szCs w:val="16"/>
                <w:lang w:val="en-US"/>
              </w:rPr>
              <w:t>had mixed performance</w:t>
            </w:r>
            <w:r w:rsidR="006A2FDA" w:rsidRPr="00C36AE2">
              <w:rPr>
                <w:rFonts w:ascii="Calibri" w:hAnsi="Calibri" w:cs="Calibri"/>
                <w:sz w:val="16"/>
                <w:szCs w:val="16"/>
                <w:lang w:val="en-US"/>
              </w:rPr>
              <w:t xml:space="preserve">: </w:t>
            </w:r>
            <w:r w:rsidR="00E12761" w:rsidRPr="00C36AE2">
              <w:rPr>
                <w:rFonts w:ascii="Calibri" w:hAnsi="Calibri" w:cs="Calibri"/>
                <w:sz w:val="16"/>
                <w:szCs w:val="16"/>
                <w:lang w:val="en-US"/>
              </w:rPr>
              <w:t xml:space="preserve">DAX </w:t>
            </w:r>
            <w:r w:rsidR="00B531A5">
              <w:rPr>
                <w:rFonts w:ascii="Calibri" w:hAnsi="Calibri" w:cs="Calibri"/>
                <w:sz w:val="16"/>
                <w:szCs w:val="16"/>
                <w:lang w:val="en-US"/>
              </w:rPr>
              <w:t>+2</w:t>
            </w:r>
            <w:r w:rsidR="001777FA" w:rsidRPr="00C36AE2">
              <w:rPr>
                <w:rFonts w:ascii="Calibri" w:hAnsi="Calibri" w:cs="Calibri"/>
                <w:sz w:val="16"/>
                <w:szCs w:val="16"/>
                <w:lang w:val="en-US"/>
              </w:rPr>
              <w:t>.</w:t>
            </w:r>
            <w:r w:rsidR="006446C3">
              <w:rPr>
                <w:rFonts w:ascii="Calibri" w:hAnsi="Calibri" w:cs="Calibri"/>
                <w:sz w:val="16"/>
                <w:szCs w:val="16"/>
                <w:lang w:val="en-US"/>
              </w:rPr>
              <w:t>45</w:t>
            </w:r>
            <w:r w:rsidR="00E12761" w:rsidRPr="00C36AE2">
              <w:rPr>
                <w:rFonts w:ascii="Calibri" w:hAnsi="Calibri" w:cs="Calibri"/>
                <w:sz w:val="16"/>
                <w:szCs w:val="16"/>
                <w:lang w:val="en-US"/>
              </w:rPr>
              <w:t xml:space="preserve">%, </w:t>
            </w:r>
            <w:proofErr w:type="spellStart"/>
            <w:r w:rsidR="00E12761" w:rsidRPr="00C36AE2">
              <w:rPr>
                <w:rFonts w:ascii="Calibri" w:hAnsi="Calibri" w:cs="Calibri"/>
                <w:sz w:val="16"/>
                <w:szCs w:val="16"/>
                <w:lang w:val="en-US"/>
              </w:rPr>
              <w:t>Eurostoxx</w:t>
            </w:r>
            <w:proofErr w:type="spellEnd"/>
            <w:r w:rsidR="00E12761" w:rsidRPr="00C36AE2">
              <w:rPr>
                <w:rFonts w:ascii="Calibri" w:hAnsi="Calibri" w:cs="Calibri"/>
                <w:sz w:val="16"/>
                <w:szCs w:val="16"/>
                <w:lang w:val="en-US"/>
              </w:rPr>
              <w:t xml:space="preserve"> 50</w:t>
            </w:r>
            <w:r w:rsidR="00D27F80" w:rsidRPr="00C36AE2">
              <w:rPr>
                <w:rFonts w:ascii="Calibri" w:hAnsi="Calibri" w:cs="Calibri"/>
                <w:sz w:val="16"/>
                <w:szCs w:val="16"/>
                <w:lang w:val="en-US"/>
              </w:rPr>
              <w:t xml:space="preserve"> </w:t>
            </w:r>
            <w:r w:rsidR="001777FA" w:rsidRPr="00C36AE2">
              <w:rPr>
                <w:rFonts w:ascii="Calibri" w:hAnsi="Calibri" w:cs="Calibri"/>
                <w:sz w:val="16"/>
                <w:szCs w:val="16"/>
                <w:lang w:val="en-US"/>
              </w:rPr>
              <w:t>+</w:t>
            </w:r>
            <w:r w:rsidR="00B531A5">
              <w:rPr>
                <w:rFonts w:ascii="Calibri" w:hAnsi="Calibri" w:cs="Calibri"/>
                <w:sz w:val="16"/>
                <w:szCs w:val="16"/>
                <w:lang w:val="en-US"/>
              </w:rPr>
              <w:t>0</w:t>
            </w:r>
            <w:r w:rsidR="001777FA" w:rsidRPr="00C36AE2">
              <w:rPr>
                <w:rFonts w:ascii="Calibri" w:hAnsi="Calibri" w:cs="Calibri"/>
                <w:sz w:val="16"/>
                <w:szCs w:val="16"/>
                <w:lang w:val="en-US"/>
              </w:rPr>
              <w:t>.</w:t>
            </w:r>
            <w:r w:rsidR="006446C3">
              <w:rPr>
                <w:rFonts w:ascii="Calibri" w:hAnsi="Calibri" w:cs="Calibri"/>
                <w:sz w:val="16"/>
                <w:szCs w:val="16"/>
                <w:lang w:val="en-US"/>
              </w:rPr>
              <w:t>98</w:t>
            </w:r>
            <w:r w:rsidR="00E12761" w:rsidRPr="00C36AE2">
              <w:rPr>
                <w:rFonts w:ascii="Calibri" w:hAnsi="Calibri" w:cs="Calibri"/>
                <w:sz w:val="16"/>
                <w:szCs w:val="16"/>
                <w:lang w:val="en-US"/>
              </w:rPr>
              <w:t>%, SMI</w:t>
            </w:r>
            <w:r w:rsidR="001777FA" w:rsidRPr="00C36AE2">
              <w:rPr>
                <w:rFonts w:ascii="Calibri" w:hAnsi="Calibri" w:cs="Calibri"/>
                <w:sz w:val="16"/>
                <w:szCs w:val="16"/>
                <w:lang w:val="en-US"/>
              </w:rPr>
              <w:t xml:space="preserve"> </w:t>
            </w:r>
            <w:r w:rsidR="006446C3">
              <w:rPr>
                <w:rFonts w:ascii="Calibri" w:hAnsi="Calibri" w:cs="Calibri"/>
                <w:sz w:val="16"/>
                <w:szCs w:val="16"/>
                <w:lang w:val="en-US"/>
              </w:rPr>
              <w:t>-0.42</w:t>
            </w:r>
            <w:r w:rsidR="00E12761" w:rsidRPr="00C36AE2">
              <w:rPr>
                <w:rFonts w:ascii="Calibri" w:hAnsi="Calibri" w:cs="Calibri"/>
                <w:sz w:val="16"/>
                <w:szCs w:val="16"/>
                <w:lang w:val="en-US"/>
              </w:rPr>
              <w:t>%, S&amp;P500</w:t>
            </w:r>
            <w:r w:rsidR="001777FA" w:rsidRPr="00C36AE2">
              <w:rPr>
                <w:rFonts w:ascii="Calibri" w:hAnsi="Calibri" w:cs="Calibri"/>
                <w:sz w:val="16"/>
                <w:szCs w:val="16"/>
                <w:lang w:val="en-US"/>
              </w:rPr>
              <w:t xml:space="preserve"> </w:t>
            </w:r>
            <w:r w:rsidR="006446C3">
              <w:rPr>
                <w:rFonts w:ascii="Calibri" w:hAnsi="Calibri" w:cs="Calibri"/>
                <w:sz w:val="16"/>
                <w:szCs w:val="16"/>
                <w:lang w:val="en-US"/>
              </w:rPr>
              <w:t>+2.62</w:t>
            </w:r>
            <w:r w:rsidR="00E12761" w:rsidRPr="00C36AE2">
              <w:rPr>
                <w:rFonts w:ascii="Calibri" w:hAnsi="Calibri" w:cs="Calibri"/>
                <w:sz w:val="16"/>
                <w:szCs w:val="16"/>
                <w:lang w:val="en-US"/>
              </w:rPr>
              <w:t>%</w:t>
            </w:r>
            <w:r w:rsidR="00C36AE2">
              <w:rPr>
                <w:rFonts w:ascii="Calibri" w:hAnsi="Calibri" w:cs="Calibri"/>
                <w:sz w:val="16"/>
                <w:szCs w:val="16"/>
                <w:lang w:val="en-US"/>
              </w:rPr>
              <w:t xml:space="preserve">. </w:t>
            </w:r>
            <w:r w:rsidR="00C6465B" w:rsidRPr="00C36AE2">
              <w:rPr>
                <w:rFonts w:ascii="Calibri" w:hAnsi="Calibri" w:cs="Calibri"/>
                <w:sz w:val="16"/>
                <w:szCs w:val="16"/>
                <w:lang w:val="en-US"/>
              </w:rPr>
              <w:t>In general</w:t>
            </w:r>
            <w:r w:rsidR="00E85880" w:rsidRPr="00C36AE2">
              <w:rPr>
                <w:rFonts w:ascii="Calibri" w:hAnsi="Calibri" w:cs="Calibri"/>
                <w:sz w:val="16"/>
                <w:szCs w:val="16"/>
                <w:lang w:val="en-US"/>
              </w:rPr>
              <w:t>,</w:t>
            </w:r>
            <w:r w:rsidR="00C6465B" w:rsidRPr="00C36AE2">
              <w:rPr>
                <w:rFonts w:ascii="Calibri" w:hAnsi="Calibri" w:cs="Calibri"/>
                <w:sz w:val="16"/>
                <w:szCs w:val="16"/>
                <w:lang w:val="en-US"/>
              </w:rPr>
              <w:t xml:space="preserve"> we </w:t>
            </w:r>
            <w:r w:rsidR="00D27F80" w:rsidRPr="00C36AE2">
              <w:rPr>
                <w:rFonts w:ascii="Calibri" w:hAnsi="Calibri" w:cs="Calibri"/>
                <w:sz w:val="16"/>
                <w:szCs w:val="16"/>
                <w:lang w:val="en-US"/>
              </w:rPr>
              <w:t xml:space="preserve">continued with the </w:t>
            </w:r>
            <w:r w:rsidR="00744CFF" w:rsidRPr="00C36AE2">
              <w:rPr>
                <w:rFonts w:ascii="Calibri" w:hAnsi="Calibri" w:cs="Calibri"/>
                <w:sz w:val="16"/>
                <w:szCs w:val="16"/>
                <w:lang w:val="en-US"/>
              </w:rPr>
              <w:t xml:space="preserve">lower overall </w:t>
            </w:r>
            <w:r w:rsidR="00C6465B" w:rsidRPr="00C36AE2">
              <w:rPr>
                <w:rFonts w:ascii="Calibri" w:hAnsi="Calibri" w:cs="Calibri"/>
                <w:sz w:val="16"/>
                <w:szCs w:val="16"/>
                <w:lang w:val="en-US"/>
              </w:rPr>
              <w:t xml:space="preserve">USD </w:t>
            </w:r>
            <w:r w:rsidR="00E769A2" w:rsidRPr="00C36AE2">
              <w:rPr>
                <w:rFonts w:ascii="Calibri" w:hAnsi="Calibri" w:cs="Calibri"/>
                <w:sz w:val="16"/>
                <w:szCs w:val="16"/>
                <w:lang w:val="en-US"/>
              </w:rPr>
              <w:t>exposure of</w:t>
            </w:r>
            <w:r w:rsidR="00C6465B" w:rsidRPr="00C36AE2">
              <w:rPr>
                <w:rFonts w:ascii="Calibri" w:hAnsi="Calibri" w:cs="Calibri"/>
                <w:sz w:val="16"/>
                <w:szCs w:val="16"/>
                <w:lang w:val="en-US"/>
              </w:rPr>
              <w:t xml:space="preserve"> </w:t>
            </w:r>
            <w:r w:rsidR="00FA316A" w:rsidRPr="00C36AE2">
              <w:rPr>
                <w:rFonts w:ascii="Calibri" w:hAnsi="Calibri" w:cs="Calibri"/>
                <w:sz w:val="16"/>
                <w:szCs w:val="16"/>
                <w:lang w:val="en-US"/>
              </w:rPr>
              <w:t xml:space="preserve">around </w:t>
            </w:r>
            <w:r w:rsidR="006446C3">
              <w:rPr>
                <w:rFonts w:ascii="Calibri" w:hAnsi="Calibri" w:cs="Calibri"/>
                <w:sz w:val="16"/>
                <w:szCs w:val="16"/>
                <w:lang w:val="en-US"/>
              </w:rPr>
              <w:t>18</w:t>
            </w:r>
            <w:r w:rsidR="00744CFF" w:rsidRPr="00C36AE2">
              <w:rPr>
                <w:rFonts w:ascii="Calibri" w:hAnsi="Calibri" w:cs="Calibri"/>
                <w:sz w:val="16"/>
                <w:szCs w:val="16"/>
                <w:lang w:val="en-US"/>
              </w:rPr>
              <w:t xml:space="preserve">%. The USD has been weak in </w:t>
            </w:r>
            <w:r w:rsidR="00693B87" w:rsidRPr="00C36AE2">
              <w:rPr>
                <w:rFonts w:ascii="Calibri" w:hAnsi="Calibri" w:cs="Calibri"/>
                <w:sz w:val="16"/>
                <w:szCs w:val="16"/>
                <w:lang w:val="en-US"/>
              </w:rPr>
              <w:t xml:space="preserve">the past months </w:t>
            </w:r>
            <w:r w:rsidR="00E769A2" w:rsidRPr="00C36AE2">
              <w:rPr>
                <w:rFonts w:ascii="Calibri" w:hAnsi="Calibri" w:cs="Calibri"/>
                <w:sz w:val="16"/>
                <w:szCs w:val="16"/>
                <w:lang w:val="en-US"/>
              </w:rPr>
              <w:t>and in</w:t>
            </w:r>
            <w:r w:rsidR="00693B87" w:rsidRPr="00C36AE2">
              <w:rPr>
                <w:rFonts w:ascii="Calibri" w:hAnsi="Calibri" w:cs="Calibri"/>
                <w:sz w:val="16"/>
                <w:szCs w:val="16"/>
                <w:lang w:val="en-US"/>
              </w:rPr>
              <w:t xml:space="preserve"> </w:t>
            </w:r>
            <w:r w:rsidR="006446C3" w:rsidRPr="0072171E">
              <w:rPr>
                <w:rFonts w:ascii="Calibri" w:hAnsi="Calibri" w:cs="Calibri"/>
                <w:sz w:val="16"/>
                <w:szCs w:val="16"/>
                <w:lang w:val="en-US"/>
              </w:rPr>
              <w:t>August</w:t>
            </w:r>
            <w:r w:rsidR="001777FA" w:rsidRPr="0072171E">
              <w:rPr>
                <w:rFonts w:ascii="Calibri" w:hAnsi="Calibri" w:cs="Calibri"/>
                <w:sz w:val="16"/>
                <w:szCs w:val="16"/>
                <w:lang w:val="en-US"/>
              </w:rPr>
              <w:t xml:space="preserve"> it </w:t>
            </w:r>
            <w:r w:rsidR="00745C42" w:rsidRPr="0072171E">
              <w:rPr>
                <w:rFonts w:ascii="Calibri" w:hAnsi="Calibri" w:cs="Calibri"/>
                <w:sz w:val="16"/>
                <w:szCs w:val="16"/>
                <w:lang w:val="en-US"/>
              </w:rPr>
              <w:t>weakened</w:t>
            </w:r>
            <w:r w:rsidR="001777FA" w:rsidRPr="0072171E">
              <w:rPr>
                <w:rFonts w:ascii="Calibri" w:hAnsi="Calibri" w:cs="Calibri"/>
                <w:sz w:val="16"/>
                <w:szCs w:val="16"/>
                <w:lang w:val="en-US"/>
              </w:rPr>
              <w:t xml:space="preserve"> </w:t>
            </w:r>
            <w:r w:rsidR="006B4BC4" w:rsidRPr="0072171E">
              <w:rPr>
                <w:rFonts w:ascii="Calibri" w:hAnsi="Calibri" w:cs="Calibri"/>
                <w:sz w:val="16"/>
                <w:szCs w:val="16"/>
                <w:lang w:val="en-US"/>
              </w:rPr>
              <w:t xml:space="preserve">against </w:t>
            </w:r>
            <w:r w:rsidR="00693B87" w:rsidRPr="0072171E">
              <w:rPr>
                <w:rFonts w:ascii="Calibri" w:hAnsi="Calibri" w:cs="Calibri"/>
                <w:sz w:val="16"/>
                <w:szCs w:val="16"/>
                <w:lang w:val="en-US"/>
              </w:rPr>
              <w:t>the EUR</w:t>
            </w:r>
            <w:r w:rsidR="00FA316A" w:rsidRPr="0072171E">
              <w:rPr>
                <w:rFonts w:ascii="Calibri" w:hAnsi="Calibri" w:cs="Calibri"/>
                <w:sz w:val="16"/>
                <w:szCs w:val="16"/>
                <w:lang w:val="en-US"/>
              </w:rPr>
              <w:t xml:space="preserve"> with </w:t>
            </w:r>
            <w:r w:rsidR="00B531A5" w:rsidRPr="0072171E">
              <w:rPr>
                <w:rFonts w:ascii="Calibri" w:hAnsi="Calibri" w:cs="Calibri"/>
                <w:sz w:val="16"/>
                <w:szCs w:val="16"/>
                <w:lang w:val="en-US"/>
              </w:rPr>
              <w:t>-0.8</w:t>
            </w:r>
            <w:r w:rsidR="006446C3" w:rsidRPr="0072171E">
              <w:rPr>
                <w:rFonts w:ascii="Calibri" w:hAnsi="Calibri" w:cs="Calibri"/>
                <w:sz w:val="16"/>
                <w:szCs w:val="16"/>
                <w:lang w:val="en-US"/>
              </w:rPr>
              <w:t>7</w:t>
            </w:r>
            <w:r w:rsidR="00FA316A" w:rsidRPr="0072171E">
              <w:rPr>
                <w:rFonts w:ascii="Calibri" w:hAnsi="Calibri" w:cs="Calibri"/>
                <w:sz w:val="16"/>
                <w:szCs w:val="16"/>
                <w:lang w:val="en-US"/>
              </w:rPr>
              <w:t>%</w:t>
            </w:r>
            <w:r w:rsidR="006B4BC4" w:rsidRPr="0072171E">
              <w:rPr>
                <w:rFonts w:ascii="Calibri" w:hAnsi="Calibri" w:cs="Calibri"/>
                <w:sz w:val="16"/>
                <w:szCs w:val="16"/>
                <w:lang w:val="en-US"/>
              </w:rPr>
              <w:t xml:space="preserve">. </w:t>
            </w:r>
          </w:p>
          <w:p w14:paraId="64F8D586" w14:textId="00D7EB4F" w:rsidR="00F30FCB" w:rsidRPr="0072171E" w:rsidRDefault="00F30FCB" w:rsidP="00F30FCB">
            <w:pPr>
              <w:tabs>
                <w:tab w:val="left" w:pos="6073"/>
              </w:tabs>
              <w:suppressAutoHyphens/>
              <w:spacing w:after="0" w:line="240" w:lineRule="auto"/>
              <w:ind w:left="-74"/>
              <w:jc w:val="both"/>
              <w:rPr>
                <w:rFonts w:ascii="Calibri" w:hAnsi="Calibri" w:cs="Calibri"/>
                <w:sz w:val="16"/>
                <w:szCs w:val="16"/>
              </w:rPr>
            </w:pPr>
            <w:r w:rsidRPr="0072171E">
              <w:rPr>
                <w:rFonts w:ascii="Calibri" w:hAnsi="Calibri" w:cs="Calibri"/>
                <w:sz w:val="16"/>
                <w:szCs w:val="16"/>
                <w:lang w:val="en-GB"/>
              </w:rPr>
              <w:t xml:space="preserve">The biggest contributor in our portfolio this month was SAP that performed +21%, contributing 0.5% to the portfolio’s performance. This performance was </w:t>
            </w:r>
            <w:r w:rsidRPr="0072171E">
              <w:rPr>
                <w:rFonts w:ascii="Calibri" w:hAnsi="Calibri" w:cs="Calibri"/>
                <w:sz w:val="16"/>
                <w:szCs w:val="16"/>
              </w:rPr>
              <w:t xml:space="preserve">mainly on a strong rebound after July weakness. Robust Q2 results—cloud backlog +26% at constant currencies and cloud revenue +24%—restored confidence in the cloud transition. Growing enthusiasm around SAP’s Business AI strategy and industry-specific AI products also supported valuation recovery. </w:t>
            </w:r>
          </w:p>
          <w:p w14:paraId="55838ECC" w14:textId="77777777" w:rsidR="009B5324" w:rsidRDefault="009B5324" w:rsidP="0072171E">
            <w:pPr>
              <w:tabs>
                <w:tab w:val="left" w:pos="6073"/>
              </w:tabs>
              <w:suppressAutoHyphens/>
              <w:spacing w:after="0" w:line="240" w:lineRule="auto"/>
              <w:ind w:left="-74"/>
              <w:jc w:val="both"/>
              <w:rPr>
                <w:rFonts w:ascii="Calibri" w:hAnsi="Calibri" w:cs="Calibri"/>
                <w:sz w:val="16"/>
                <w:szCs w:val="16"/>
              </w:rPr>
            </w:pPr>
            <w:r>
              <w:rPr>
                <w:rFonts w:ascii="Calibri" w:hAnsi="Calibri" w:cs="Calibri"/>
                <w:sz w:val="16"/>
                <w:szCs w:val="16"/>
              </w:rPr>
              <w:t>Five</w:t>
            </w:r>
            <w:r w:rsidR="0072171E" w:rsidRPr="0072171E">
              <w:rPr>
                <w:rFonts w:ascii="Calibri" w:hAnsi="Calibri" w:cs="Calibri"/>
                <w:sz w:val="16"/>
                <w:szCs w:val="16"/>
              </w:rPr>
              <w:t xml:space="preserve"> of our top weights </w:t>
            </w:r>
            <w:r>
              <w:rPr>
                <w:rFonts w:ascii="Calibri" w:hAnsi="Calibri" w:cs="Calibri"/>
                <w:sz w:val="16"/>
                <w:szCs w:val="16"/>
              </w:rPr>
              <w:t xml:space="preserve">(Banco Santander, Inditex, Apple, Linde and Siemens) </w:t>
            </w:r>
          </w:p>
          <w:p w14:paraId="31B1D0AE" w14:textId="2C5AB3BA" w:rsidR="00743CA5" w:rsidRPr="009B5324" w:rsidRDefault="0072171E" w:rsidP="009B5324">
            <w:pPr>
              <w:tabs>
                <w:tab w:val="left" w:pos="6073"/>
              </w:tabs>
              <w:suppressAutoHyphens/>
              <w:spacing w:after="0" w:line="240" w:lineRule="auto"/>
              <w:ind w:left="-74"/>
              <w:jc w:val="both"/>
              <w:rPr>
                <w:rFonts w:ascii="Calibri" w:hAnsi="Calibri" w:cs="Calibri"/>
                <w:sz w:val="16"/>
                <w:szCs w:val="16"/>
                <w:lang w:val="en-US"/>
              </w:rPr>
            </w:pPr>
            <w:r w:rsidRPr="0072171E">
              <w:rPr>
                <w:rFonts w:ascii="Calibri" w:hAnsi="Calibri" w:cs="Calibri"/>
                <w:sz w:val="16"/>
                <w:szCs w:val="16"/>
              </w:rPr>
              <w:t>outperformed the market (0.29%) in August while two of our top weights underperformed the market. Safran (-0.505 performance) underperformed in August, despite excellent H1 results. After initially rallying above €360, the shares reversed as investors took profits following a strong YTD run. Valuation concerns increased citing caution over 2027 civil-engine aftermarket momentum.</w:t>
            </w:r>
            <w:r w:rsidRPr="0072171E">
              <w:rPr>
                <w:rFonts w:ascii="Times New Roman" w:eastAsia="Times New Roman" w:hAnsi="Times New Roman" w:cs="Times New Roman"/>
                <w:sz w:val="24"/>
                <w:szCs w:val="24"/>
                <w:lang w:val="en-US" w:eastAsia="de-CH"/>
              </w:rPr>
              <w:t xml:space="preserve"> </w:t>
            </w:r>
            <w:r w:rsidRPr="0072171E">
              <w:rPr>
                <w:rFonts w:ascii="Calibri" w:hAnsi="Calibri" w:cs="Calibri"/>
                <w:sz w:val="16"/>
                <w:szCs w:val="16"/>
                <w:lang w:val="en-US"/>
              </w:rPr>
              <w:t xml:space="preserve">TotalEnergies (-1.25% performance) was relatively weak in August after a very strong first half. Despite solid Q2 cash flow and a higher dividend, investors focused on Middle East production disruptions, affecting up to ~10% of output, and softer late-August oil-price sentiment. Profit-taking after a roughly 40% YTD rally also limited upside. Lastly, our weakest stock was </w:t>
            </w:r>
            <w:r w:rsidRPr="0072171E">
              <w:rPr>
                <w:rFonts w:ascii="Calibri" w:hAnsi="Calibri" w:cs="Calibri"/>
                <w:sz w:val="16"/>
                <w:szCs w:val="16"/>
              </w:rPr>
              <w:t>Anheuser-Busch InBev (-9.3% performance) that underperformed in August, despite strong Q2 results. Revenue rose 5.6%, beer volumes +1.1% and underlying EPS +23.4%, but the stock had reached a 52-week high on July 31. August therefore saw profit-taking and valuation normalization, compounded by lingering concerns over softer consumer demand in some markets</w:t>
            </w:r>
            <w:r w:rsidR="009B5324">
              <w:rPr>
                <w:rFonts w:ascii="Calibri" w:hAnsi="Calibri" w:cs="Calibri"/>
                <w:sz w:val="16"/>
                <w:szCs w:val="16"/>
              </w:rPr>
              <w:t>.</w:t>
            </w:r>
          </w:p>
          <w:p w14:paraId="44886D63" w14:textId="33759EE4" w:rsidR="00505BE4" w:rsidRPr="004E1943" w:rsidRDefault="00743CA5" w:rsidP="00743CA5">
            <w:pPr>
              <w:tabs>
                <w:tab w:val="left" w:pos="6073"/>
              </w:tabs>
              <w:suppressAutoHyphens/>
              <w:spacing w:after="120" w:line="240" w:lineRule="auto"/>
              <w:ind w:left="-74"/>
              <w:jc w:val="both"/>
              <w:rPr>
                <w:rFonts w:ascii="Calibri" w:hAnsi="Calibri" w:cs="Calibri"/>
                <w:sz w:val="16"/>
                <w:szCs w:val="16"/>
                <w:highlight w:val="yellow"/>
                <w:lang w:val="en-GB"/>
              </w:rPr>
            </w:pPr>
            <w:r w:rsidRPr="0072171E">
              <w:rPr>
                <w:rFonts w:ascii="Calibri" w:hAnsi="Calibri" w:cs="Calibri"/>
                <w:sz w:val="16"/>
                <w:szCs w:val="16"/>
                <w:lang w:val="en-GB"/>
              </w:rPr>
              <w:t>The EUR cash position ended the month at approximately 4.9%.</w:t>
            </w:r>
            <w:r w:rsidR="009B5324" w:rsidRPr="0072171E">
              <w:rPr>
                <w:rFonts w:ascii="Calibri" w:hAnsi="Calibri" w:cs="Calibri"/>
                <w:sz w:val="16"/>
                <w:szCs w:val="16"/>
              </w:rPr>
              <w:t xml:space="preserve"> </w:t>
            </w:r>
            <w:r w:rsidR="009B5324" w:rsidRPr="0072171E">
              <w:rPr>
                <w:rFonts w:ascii="Calibri" w:hAnsi="Calibri" w:cs="Calibri"/>
                <w:sz w:val="16"/>
                <w:szCs w:val="16"/>
              </w:rPr>
              <w:t xml:space="preserve">Nokia also rebounded +17.5%, contributing 0.38% to the portfolio </w:t>
            </w:r>
            <w:r w:rsidR="009B5324" w:rsidRPr="0072171E">
              <w:rPr>
                <w:rFonts w:ascii="Calibri" w:hAnsi="Calibri" w:cs="Calibri"/>
                <w:sz w:val="16"/>
                <w:szCs w:val="16"/>
                <w:lang w:val="en-US"/>
              </w:rPr>
              <w:t xml:space="preserve">as investors increasingly rewarded its exposure to AI and cloud infrastructure. Q2 sales rose 9% at constant currencies, with AI &amp; Cloud customer sales +105%, Optical Networks +20% and IP Networks +16%. August’s NVIDIA-backed </w:t>
            </w:r>
            <w:proofErr w:type="spellStart"/>
            <w:r w:rsidR="009B5324" w:rsidRPr="0072171E">
              <w:rPr>
                <w:rFonts w:ascii="Calibri" w:hAnsi="Calibri" w:cs="Calibri"/>
                <w:sz w:val="16"/>
                <w:szCs w:val="16"/>
                <w:lang w:val="en-US"/>
              </w:rPr>
              <w:t>Zankore</w:t>
            </w:r>
            <w:proofErr w:type="spellEnd"/>
            <w:r w:rsidR="009B5324" w:rsidRPr="0072171E">
              <w:rPr>
                <w:rFonts w:ascii="Calibri" w:hAnsi="Calibri" w:cs="Calibri"/>
                <w:sz w:val="16"/>
                <w:szCs w:val="16"/>
                <w:lang w:val="en-US"/>
              </w:rPr>
              <w:t xml:space="preserve"> AI infrastructure partnership further strengthened the AI investment case. Microsoft (8% perf, 0.25% contribution) </w:t>
            </w:r>
            <w:r w:rsidR="009B5324" w:rsidRPr="0072171E">
              <w:rPr>
                <w:rFonts w:ascii="Calibri" w:hAnsi="Calibri" w:cs="Calibri"/>
                <w:sz w:val="16"/>
                <w:szCs w:val="16"/>
              </w:rPr>
              <w:t>Microsoft outperformed in August following very strong FY26 Q4 results. Azure revenue grew 43%, Microsoft Cloud +27%, while commercial backlog surged 84% to $678bn. Management also guided Azure growth to ~45% for the next quarter. Strong AI demand, capacity expansion and accelerating cloud growth reinforced confidence in Microsoft’s AI leadership.</w:t>
            </w:r>
          </w:p>
        </w:tc>
        <w:tc>
          <w:tcPr>
            <w:tcW w:w="147" w:type="dxa"/>
            <w:tcBorders>
              <w:right w:val="single" w:sz="4" w:space="0" w:color="C00000"/>
            </w:tcBorders>
          </w:tcPr>
          <w:p w14:paraId="40D94C1A" w14:textId="650D5869" w:rsidR="00825411" w:rsidRPr="00336A7D" w:rsidRDefault="00825411">
            <w:pPr>
              <w:jc w:val="center"/>
              <w:rPr>
                <w:b/>
                <w:sz w:val="18"/>
                <w:highlight w:val="yellow"/>
                <w:lang w:val="en-US"/>
              </w:rPr>
            </w:pPr>
          </w:p>
        </w:tc>
        <w:tc>
          <w:tcPr>
            <w:tcW w:w="4522" w:type="dxa"/>
            <w:tcBorders>
              <w:top w:val="single" w:sz="4" w:space="0" w:color="C00000"/>
              <w:bottom w:val="single" w:sz="4" w:space="0" w:color="C00000"/>
              <w:right w:val="single" w:sz="4" w:space="0" w:color="C00000"/>
            </w:tcBorders>
          </w:tcPr>
          <w:p w14:paraId="6B4952D1" w14:textId="77777777" w:rsidR="00825411" w:rsidRPr="007F6E5E" w:rsidRDefault="00825411">
            <w:pPr>
              <w:rPr>
                <w:i/>
                <w:sz w:val="12"/>
                <w:szCs w:val="12"/>
                <w:lang w:val="en-US"/>
              </w:rPr>
            </w:pPr>
          </w:p>
          <w:p w14:paraId="76FAFFCD" w14:textId="57372266" w:rsidR="00825411" w:rsidRPr="00B231E7" w:rsidRDefault="00400365" w:rsidP="00981FE5">
            <w:pPr>
              <w:spacing w:after="0"/>
              <w:ind w:left="101"/>
              <w:rPr>
                <w:i/>
                <w:sz w:val="12"/>
                <w:szCs w:val="12"/>
                <w:lang w:val="en-US"/>
              </w:rPr>
            </w:pPr>
            <w:r w:rsidRPr="00400365">
              <w:rPr>
                <w:i/>
                <w:noProof/>
                <w:sz w:val="12"/>
                <w:szCs w:val="12"/>
                <w:lang w:val="en-US"/>
              </w:rPr>
              <w:drawing>
                <wp:inline distT="0" distB="0" distL="0" distR="0" wp14:anchorId="0FD2787D" wp14:editId="355CFB82">
                  <wp:extent cx="2602486" cy="2609215"/>
                  <wp:effectExtent l="0" t="0" r="7620" b="635"/>
                  <wp:docPr id="122488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88288"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l="939" r="939"/>
                          <a:stretch>
                            <a:fillRect/>
                          </a:stretch>
                        </pic:blipFill>
                        <pic:spPr bwMode="auto">
                          <a:xfrm>
                            <a:off x="0" y="0"/>
                            <a:ext cx="2602486" cy="2609215"/>
                          </a:xfrm>
                          <a:prstGeom prst="rect">
                            <a:avLst/>
                          </a:prstGeom>
                          <a:noFill/>
                          <a:ln>
                            <a:noFill/>
                          </a:ln>
                          <a:extLst>
                            <a:ext uri="{53640926-AAD7-44D8-BBD7-CCE9431645EC}">
                              <a14:shadowObscured xmlns:a14="http://schemas.microsoft.com/office/drawing/2010/main"/>
                            </a:ext>
                          </a:extLst>
                        </pic:spPr>
                      </pic:pic>
                    </a:graphicData>
                  </a:graphic>
                </wp:inline>
              </w:drawing>
            </w:r>
          </w:p>
          <w:p w14:paraId="2A77F94E" w14:textId="20F07E63" w:rsidR="00390A40" w:rsidRDefault="00981FE5" w:rsidP="00726B3B">
            <w:pPr>
              <w:ind w:left="101" w:firstLine="149"/>
              <w:rPr>
                <w:i/>
                <w:sz w:val="14"/>
                <w:szCs w:val="14"/>
                <w:lang w:val="en-US"/>
              </w:rPr>
            </w:pPr>
            <w:r w:rsidRPr="00981FE5">
              <w:rPr>
                <w:i/>
                <w:sz w:val="14"/>
                <w:szCs w:val="14"/>
                <w:lang w:val="en-US"/>
              </w:rPr>
              <w:t>Current Composition (202</w:t>
            </w:r>
            <w:r w:rsidR="005B0F2F">
              <w:rPr>
                <w:i/>
                <w:sz w:val="14"/>
                <w:szCs w:val="14"/>
                <w:lang w:val="en-US"/>
              </w:rPr>
              <w:t>6</w:t>
            </w:r>
            <w:r w:rsidRPr="00981FE5">
              <w:rPr>
                <w:i/>
                <w:sz w:val="14"/>
                <w:szCs w:val="14"/>
                <w:lang w:val="en-US"/>
              </w:rPr>
              <w:t>)</w:t>
            </w:r>
          </w:p>
          <w:p w14:paraId="1D12D5B3" w14:textId="77777777" w:rsidR="00400365" w:rsidRDefault="00400365" w:rsidP="00726B3B">
            <w:pPr>
              <w:ind w:left="101" w:firstLine="149"/>
              <w:rPr>
                <w:i/>
                <w:sz w:val="14"/>
                <w:szCs w:val="14"/>
                <w:lang w:val="en-US"/>
              </w:rPr>
            </w:pPr>
          </w:p>
          <w:p w14:paraId="726B850E" w14:textId="45EDEFBB" w:rsidR="00825411" w:rsidRDefault="002D3B5D" w:rsidP="00981FE5">
            <w:pPr>
              <w:spacing w:after="0"/>
              <w:ind w:left="101"/>
              <w:rPr>
                <w:i/>
                <w:sz w:val="14"/>
                <w:szCs w:val="14"/>
                <w:lang w:val="en-US"/>
              </w:rPr>
            </w:pPr>
            <w:r w:rsidRPr="002D3B5D">
              <w:rPr>
                <w:i/>
                <w:noProof/>
                <w:sz w:val="14"/>
                <w:szCs w:val="14"/>
                <w:lang w:val="en-US"/>
              </w:rPr>
              <w:drawing>
                <wp:inline distT="0" distB="0" distL="0" distR="0" wp14:anchorId="4D72090B" wp14:editId="41CBE3C6">
                  <wp:extent cx="2771775" cy="1666875"/>
                  <wp:effectExtent l="0" t="0" r="9525" b="9525"/>
                  <wp:docPr id="420216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71775" cy="1666875"/>
                          </a:xfrm>
                          <a:prstGeom prst="rect">
                            <a:avLst/>
                          </a:prstGeom>
                          <a:noFill/>
                          <a:ln>
                            <a:noFill/>
                          </a:ln>
                        </pic:spPr>
                      </pic:pic>
                    </a:graphicData>
                  </a:graphic>
                </wp:inline>
              </w:drawing>
            </w:r>
          </w:p>
          <w:p w14:paraId="21DC6D5D" w14:textId="6FE1809A" w:rsidR="00825411" w:rsidRDefault="00825411" w:rsidP="00726B3B">
            <w:pPr>
              <w:spacing w:after="0"/>
              <w:ind w:left="101" w:firstLine="239"/>
              <w:rPr>
                <w:i/>
                <w:sz w:val="14"/>
                <w:szCs w:val="14"/>
                <w:lang w:val="en-US"/>
              </w:rPr>
            </w:pPr>
            <w:r>
              <w:rPr>
                <w:i/>
                <w:sz w:val="14"/>
                <w:szCs w:val="14"/>
                <w:lang w:val="en-US"/>
              </w:rPr>
              <w:t>Perfo</w:t>
            </w:r>
            <w:r w:rsidR="009A0CDF">
              <w:rPr>
                <w:i/>
                <w:sz w:val="14"/>
                <w:szCs w:val="14"/>
                <w:lang w:val="en-US"/>
              </w:rPr>
              <w:t>r</w:t>
            </w:r>
            <w:r>
              <w:rPr>
                <w:i/>
                <w:sz w:val="14"/>
                <w:szCs w:val="14"/>
                <w:lang w:val="en-US"/>
              </w:rPr>
              <w:t xml:space="preserve">mance </w:t>
            </w:r>
            <w:r w:rsidR="005B0F2F">
              <w:rPr>
                <w:i/>
                <w:sz w:val="14"/>
                <w:szCs w:val="14"/>
                <w:lang w:val="en-US"/>
              </w:rPr>
              <w:t>12m</w:t>
            </w:r>
            <w:r>
              <w:rPr>
                <w:i/>
                <w:sz w:val="14"/>
                <w:szCs w:val="14"/>
                <w:lang w:val="en-US"/>
              </w:rPr>
              <w:t>: Source Bloomberg</w:t>
            </w:r>
          </w:p>
          <w:p w14:paraId="205C4541" w14:textId="5FF603FE" w:rsidR="00825411" w:rsidRPr="00CC2DDF" w:rsidRDefault="00825411" w:rsidP="006E41DC">
            <w:pPr>
              <w:spacing w:after="0"/>
              <w:rPr>
                <w:i/>
                <w:sz w:val="14"/>
                <w:szCs w:val="14"/>
                <w:lang w:val="en-US"/>
              </w:rPr>
            </w:pPr>
          </w:p>
        </w:tc>
      </w:tr>
    </w:tbl>
    <w:p w14:paraId="4CBBF75C" w14:textId="77777777" w:rsidR="00825411" w:rsidRPr="00566A59" w:rsidRDefault="00825411" w:rsidP="00825411">
      <w:pPr>
        <w:pStyle w:val="Heading1"/>
        <w:spacing w:before="0"/>
        <w:rPr>
          <w:rFonts w:asciiTheme="minorHAnsi" w:hAnsiTheme="minorHAnsi"/>
          <w:color w:val="C00000"/>
          <w:sz w:val="24"/>
          <w:lang w:val="en-US"/>
        </w:rPr>
      </w:pPr>
      <w:r w:rsidRPr="00394C4C">
        <w:rPr>
          <w:rFonts w:asciiTheme="minorHAnsi" w:hAnsiTheme="minorHAnsi"/>
          <w:color w:val="C00000"/>
          <w:sz w:val="24"/>
          <w:lang w:val="en-US"/>
        </w:rPr>
        <w:lastRenderedPageBreak/>
        <w:t>Return</w:t>
      </w:r>
    </w:p>
    <w:tbl>
      <w:tblPr>
        <w:tblStyle w:val="TableGrid"/>
        <w:tblW w:w="19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0" w:type="dxa"/>
          <w:right w:w="70" w:type="dxa"/>
        </w:tblCellMar>
        <w:tblLook w:val="04A0" w:firstRow="1" w:lastRow="0" w:firstColumn="1" w:lastColumn="0" w:noHBand="0" w:noVBand="1"/>
      </w:tblPr>
      <w:tblGrid>
        <w:gridCol w:w="9677"/>
        <w:gridCol w:w="10318"/>
      </w:tblGrid>
      <w:tr w:rsidR="00825411" w:rsidRPr="001153A8" w14:paraId="29C38F3D" w14:textId="77777777" w:rsidTr="00E337E2">
        <w:tc>
          <w:tcPr>
            <w:tcW w:w="9677" w:type="dxa"/>
          </w:tcPr>
          <w:tbl>
            <w:tblPr>
              <w:tblStyle w:val="TableGrid"/>
              <w:tblW w:w="9522" w:type="dxa"/>
              <w:tblLayout w:type="fixed"/>
              <w:tblLook w:val="04A0" w:firstRow="1" w:lastRow="0" w:firstColumn="1" w:lastColumn="0" w:noHBand="0" w:noVBand="1"/>
            </w:tblPr>
            <w:tblGrid>
              <w:gridCol w:w="534"/>
              <w:gridCol w:w="767"/>
              <w:gridCol w:w="660"/>
              <w:gridCol w:w="640"/>
              <w:gridCol w:w="650"/>
              <w:gridCol w:w="650"/>
              <w:gridCol w:w="650"/>
              <w:gridCol w:w="650"/>
              <w:gridCol w:w="650"/>
              <w:gridCol w:w="650"/>
              <w:gridCol w:w="650"/>
              <w:gridCol w:w="801"/>
              <w:gridCol w:w="713"/>
              <w:gridCol w:w="857"/>
            </w:tblGrid>
            <w:tr w:rsidR="00825411" w:rsidRPr="00D70A30" w14:paraId="09794058" w14:textId="77777777">
              <w:trPr>
                <w:trHeight w:val="437"/>
              </w:trPr>
              <w:tc>
                <w:tcPr>
                  <w:tcW w:w="534" w:type="dxa"/>
                  <w:shd w:val="clear" w:color="auto" w:fill="D9D9D9" w:themeFill="background1" w:themeFillShade="D9"/>
                  <w:vAlign w:val="center"/>
                </w:tcPr>
                <w:p w14:paraId="620D593D" w14:textId="77777777" w:rsidR="00825411" w:rsidRPr="00D70A30" w:rsidRDefault="00825411">
                  <w:pPr>
                    <w:pStyle w:val="Heading1"/>
                    <w:spacing w:before="0"/>
                    <w:jc w:val="center"/>
                    <w:rPr>
                      <w:rFonts w:asciiTheme="minorHAnsi" w:hAnsiTheme="minorHAnsi"/>
                      <w:color w:val="auto"/>
                      <w:sz w:val="13"/>
                      <w:szCs w:val="13"/>
                      <w:lang w:val="en-US"/>
                    </w:rPr>
                  </w:pPr>
                </w:p>
              </w:tc>
              <w:tc>
                <w:tcPr>
                  <w:tcW w:w="767" w:type="dxa"/>
                  <w:shd w:val="clear" w:color="auto" w:fill="D9D9D9" w:themeFill="background1" w:themeFillShade="D9"/>
                  <w:vAlign w:val="center"/>
                </w:tcPr>
                <w:p w14:paraId="35256AAD"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Jan</w:t>
                  </w:r>
                </w:p>
              </w:tc>
              <w:tc>
                <w:tcPr>
                  <w:tcW w:w="660" w:type="dxa"/>
                  <w:shd w:val="clear" w:color="auto" w:fill="D9D9D9" w:themeFill="background1" w:themeFillShade="D9"/>
                  <w:vAlign w:val="center"/>
                </w:tcPr>
                <w:p w14:paraId="777A4FCD"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Feb</w:t>
                  </w:r>
                </w:p>
              </w:tc>
              <w:tc>
                <w:tcPr>
                  <w:tcW w:w="640" w:type="dxa"/>
                  <w:shd w:val="clear" w:color="auto" w:fill="D9D9D9" w:themeFill="background1" w:themeFillShade="D9"/>
                  <w:vAlign w:val="center"/>
                </w:tcPr>
                <w:p w14:paraId="2A546D53"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Mar</w:t>
                  </w:r>
                </w:p>
              </w:tc>
              <w:tc>
                <w:tcPr>
                  <w:tcW w:w="650" w:type="dxa"/>
                  <w:shd w:val="clear" w:color="auto" w:fill="D9D9D9" w:themeFill="background1" w:themeFillShade="D9"/>
                  <w:vAlign w:val="center"/>
                </w:tcPr>
                <w:p w14:paraId="03F2DAC1"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Apr</w:t>
                  </w:r>
                </w:p>
              </w:tc>
              <w:tc>
                <w:tcPr>
                  <w:tcW w:w="650" w:type="dxa"/>
                  <w:shd w:val="clear" w:color="auto" w:fill="D9D9D9" w:themeFill="background1" w:themeFillShade="D9"/>
                  <w:vAlign w:val="center"/>
                </w:tcPr>
                <w:p w14:paraId="16BECA2D"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May</w:t>
                  </w:r>
                </w:p>
              </w:tc>
              <w:tc>
                <w:tcPr>
                  <w:tcW w:w="650" w:type="dxa"/>
                  <w:shd w:val="clear" w:color="auto" w:fill="D9D9D9" w:themeFill="background1" w:themeFillShade="D9"/>
                  <w:vAlign w:val="center"/>
                </w:tcPr>
                <w:p w14:paraId="305ECC55"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Jun</w:t>
                  </w:r>
                </w:p>
              </w:tc>
              <w:tc>
                <w:tcPr>
                  <w:tcW w:w="650" w:type="dxa"/>
                  <w:shd w:val="clear" w:color="auto" w:fill="D9D9D9" w:themeFill="background1" w:themeFillShade="D9"/>
                  <w:vAlign w:val="center"/>
                </w:tcPr>
                <w:p w14:paraId="3FD1A442"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Jul</w:t>
                  </w:r>
                </w:p>
              </w:tc>
              <w:tc>
                <w:tcPr>
                  <w:tcW w:w="650" w:type="dxa"/>
                  <w:shd w:val="clear" w:color="auto" w:fill="D9D9D9" w:themeFill="background1" w:themeFillShade="D9"/>
                  <w:vAlign w:val="center"/>
                </w:tcPr>
                <w:p w14:paraId="68974779"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Aug</w:t>
                  </w:r>
                </w:p>
              </w:tc>
              <w:tc>
                <w:tcPr>
                  <w:tcW w:w="650" w:type="dxa"/>
                  <w:shd w:val="clear" w:color="auto" w:fill="D9D9D9" w:themeFill="background1" w:themeFillShade="D9"/>
                  <w:vAlign w:val="center"/>
                </w:tcPr>
                <w:p w14:paraId="0E9DE273"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Sep</w:t>
                  </w:r>
                </w:p>
              </w:tc>
              <w:tc>
                <w:tcPr>
                  <w:tcW w:w="650" w:type="dxa"/>
                  <w:shd w:val="clear" w:color="auto" w:fill="D9D9D9" w:themeFill="background1" w:themeFillShade="D9"/>
                  <w:vAlign w:val="center"/>
                </w:tcPr>
                <w:p w14:paraId="5A05020F"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Oct</w:t>
                  </w:r>
                </w:p>
              </w:tc>
              <w:tc>
                <w:tcPr>
                  <w:tcW w:w="801" w:type="dxa"/>
                  <w:shd w:val="clear" w:color="auto" w:fill="D9D9D9" w:themeFill="background1" w:themeFillShade="D9"/>
                  <w:vAlign w:val="center"/>
                </w:tcPr>
                <w:p w14:paraId="0D2CE0B4"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Nov</w:t>
                  </w:r>
                </w:p>
              </w:tc>
              <w:tc>
                <w:tcPr>
                  <w:tcW w:w="713" w:type="dxa"/>
                  <w:shd w:val="clear" w:color="auto" w:fill="D9D9D9" w:themeFill="background1" w:themeFillShade="D9"/>
                  <w:vAlign w:val="center"/>
                </w:tcPr>
                <w:p w14:paraId="0DB51869"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Dec</w:t>
                  </w:r>
                </w:p>
              </w:tc>
              <w:tc>
                <w:tcPr>
                  <w:tcW w:w="857" w:type="dxa"/>
                  <w:shd w:val="clear" w:color="auto" w:fill="D9D9D9" w:themeFill="background1" w:themeFillShade="D9"/>
                  <w:vAlign w:val="center"/>
                </w:tcPr>
                <w:p w14:paraId="77761E67"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YTD</w:t>
                  </w:r>
                </w:p>
              </w:tc>
            </w:tr>
            <w:tr w:rsidR="00825411" w:rsidRPr="00D70A30" w14:paraId="079F822F" w14:textId="77777777">
              <w:trPr>
                <w:trHeight w:val="38"/>
              </w:trPr>
              <w:tc>
                <w:tcPr>
                  <w:tcW w:w="534" w:type="dxa"/>
                  <w:shd w:val="clear" w:color="auto" w:fill="D9D9D9" w:themeFill="background1" w:themeFillShade="D9"/>
                  <w:vAlign w:val="center"/>
                </w:tcPr>
                <w:p w14:paraId="0BA62B3E"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2013</w:t>
                  </w:r>
                </w:p>
              </w:tc>
              <w:tc>
                <w:tcPr>
                  <w:tcW w:w="767" w:type="dxa"/>
                  <w:vAlign w:val="center"/>
                </w:tcPr>
                <w:p w14:paraId="00D590A4" w14:textId="77777777" w:rsidR="00825411" w:rsidRPr="00D70A30" w:rsidRDefault="00825411">
                  <w:pPr>
                    <w:pStyle w:val="Heading1"/>
                    <w:spacing w:before="0"/>
                    <w:jc w:val="center"/>
                    <w:rPr>
                      <w:rFonts w:asciiTheme="minorHAnsi" w:hAnsiTheme="minorHAnsi"/>
                      <w:b w:val="0"/>
                      <w:color w:val="auto"/>
                      <w:sz w:val="13"/>
                      <w:szCs w:val="13"/>
                      <w:lang w:val="en-US"/>
                    </w:rPr>
                  </w:pPr>
                </w:p>
              </w:tc>
              <w:tc>
                <w:tcPr>
                  <w:tcW w:w="660" w:type="dxa"/>
                  <w:vAlign w:val="center"/>
                </w:tcPr>
                <w:p w14:paraId="1C1A9003" w14:textId="77777777" w:rsidR="00825411" w:rsidRPr="00D70A30" w:rsidRDefault="00825411">
                  <w:pPr>
                    <w:pStyle w:val="Heading1"/>
                    <w:spacing w:before="0"/>
                    <w:jc w:val="center"/>
                    <w:rPr>
                      <w:rFonts w:asciiTheme="minorHAnsi" w:hAnsiTheme="minorHAnsi"/>
                      <w:b w:val="0"/>
                      <w:color w:val="auto"/>
                      <w:sz w:val="13"/>
                      <w:szCs w:val="13"/>
                      <w:lang w:val="en-US"/>
                    </w:rPr>
                  </w:pPr>
                </w:p>
              </w:tc>
              <w:tc>
                <w:tcPr>
                  <w:tcW w:w="640" w:type="dxa"/>
                  <w:vAlign w:val="center"/>
                </w:tcPr>
                <w:p w14:paraId="421391EA" w14:textId="77777777" w:rsidR="00825411" w:rsidRPr="00D70A30" w:rsidRDefault="00825411">
                  <w:pPr>
                    <w:pStyle w:val="Heading1"/>
                    <w:spacing w:before="0"/>
                    <w:jc w:val="center"/>
                    <w:rPr>
                      <w:rFonts w:asciiTheme="minorHAnsi" w:hAnsiTheme="minorHAnsi"/>
                      <w:b w:val="0"/>
                      <w:color w:val="auto"/>
                      <w:sz w:val="13"/>
                      <w:szCs w:val="13"/>
                      <w:lang w:val="en-US"/>
                    </w:rPr>
                  </w:pPr>
                </w:p>
              </w:tc>
              <w:tc>
                <w:tcPr>
                  <w:tcW w:w="650" w:type="dxa"/>
                  <w:vAlign w:val="center"/>
                </w:tcPr>
                <w:p w14:paraId="03D1A6A6" w14:textId="77777777" w:rsidR="00825411" w:rsidRPr="00D70A30" w:rsidRDefault="00825411">
                  <w:pPr>
                    <w:pStyle w:val="Heading1"/>
                    <w:spacing w:before="0"/>
                    <w:jc w:val="center"/>
                    <w:rPr>
                      <w:rFonts w:asciiTheme="minorHAnsi" w:hAnsiTheme="minorHAnsi"/>
                      <w:b w:val="0"/>
                      <w:color w:val="auto"/>
                      <w:sz w:val="13"/>
                      <w:szCs w:val="13"/>
                      <w:lang w:val="en-US"/>
                    </w:rPr>
                  </w:pPr>
                </w:p>
              </w:tc>
              <w:tc>
                <w:tcPr>
                  <w:tcW w:w="650" w:type="dxa"/>
                  <w:vAlign w:val="center"/>
                </w:tcPr>
                <w:p w14:paraId="1CF2E800" w14:textId="77777777" w:rsidR="00825411" w:rsidRPr="00D70A30" w:rsidRDefault="00825411">
                  <w:pPr>
                    <w:pStyle w:val="Heading1"/>
                    <w:spacing w:before="0"/>
                    <w:jc w:val="center"/>
                    <w:rPr>
                      <w:rFonts w:asciiTheme="minorHAnsi" w:hAnsiTheme="minorHAnsi"/>
                      <w:b w:val="0"/>
                      <w:color w:val="auto"/>
                      <w:sz w:val="13"/>
                      <w:szCs w:val="13"/>
                      <w:lang w:val="en-US"/>
                    </w:rPr>
                  </w:pPr>
                </w:p>
              </w:tc>
              <w:tc>
                <w:tcPr>
                  <w:tcW w:w="650" w:type="dxa"/>
                  <w:vAlign w:val="center"/>
                </w:tcPr>
                <w:p w14:paraId="2DBB1C9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-0.45%</w:t>
                  </w:r>
                </w:p>
              </w:tc>
              <w:tc>
                <w:tcPr>
                  <w:tcW w:w="650" w:type="dxa"/>
                  <w:vAlign w:val="center"/>
                </w:tcPr>
                <w:p w14:paraId="7E44CFD4"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3.76%</w:t>
                  </w:r>
                </w:p>
              </w:tc>
              <w:tc>
                <w:tcPr>
                  <w:tcW w:w="650" w:type="dxa"/>
                  <w:vAlign w:val="center"/>
                </w:tcPr>
                <w:p w14:paraId="30E5E556"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-1.26%</w:t>
                  </w:r>
                </w:p>
              </w:tc>
              <w:tc>
                <w:tcPr>
                  <w:tcW w:w="650" w:type="dxa"/>
                  <w:vAlign w:val="center"/>
                </w:tcPr>
                <w:p w14:paraId="7E9BEEAD"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3.13%</w:t>
                  </w:r>
                </w:p>
              </w:tc>
              <w:tc>
                <w:tcPr>
                  <w:tcW w:w="650" w:type="dxa"/>
                  <w:vAlign w:val="center"/>
                </w:tcPr>
                <w:p w14:paraId="3F206C44"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2.37%</w:t>
                  </w:r>
                </w:p>
              </w:tc>
              <w:tc>
                <w:tcPr>
                  <w:tcW w:w="801" w:type="dxa"/>
                  <w:vAlign w:val="center"/>
                </w:tcPr>
                <w:p w14:paraId="59E64BA3"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1.85%</w:t>
                  </w:r>
                </w:p>
              </w:tc>
              <w:tc>
                <w:tcPr>
                  <w:tcW w:w="713" w:type="dxa"/>
                  <w:vAlign w:val="center"/>
                </w:tcPr>
                <w:p w14:paraId="72F08B5F"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-0.45%</w:t>
                  </w:r>
                </w:p>
              </w:tc>
              <w:tc>
                <w:tcPr>
                  <w:tcW w:w="857" w:type="dxa"/>
                  <w:vAlign w:val="center"/>
                </w:tcPr>
                <w:p w14:paraId="111FAF94"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9.18%</w:t>
                  </w:r>
                </w:p>
              </w:tc>
            </w:tr>
            <w:tr w:rsidR="00825411" w:rsidRPr="00D70A30" w14:paraId="134F5427" w14:textId="77777777">
              <w:trPr>
                <w:trHeight w:val="38"/>
              </w:trPr>
              <w:tc>
                <w:tcPr>
                  <w:tcW w:w="534" w:type="dxa"/>
                  <w:shd w:val="clear" w:color="auto" w:fill="D9D9D9" w:themeFill="background1" w:themeFillShade="D9"/>
                  <w:vAlign w:val="center"/>
                </w:tcPr>
                <w:p w14:paraId="0D51E825"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2014</w:t>
                  </w:r>
                </w:p>
              </w:tc>
              <w:tc>
                <w:tcPr>
                  <w:tcW w:w="767" w:type="dxa"/>
                  <w:vAlign w:val="center"/>
                </w:tcPr>
                <w:p w14:paraId="1A43873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-2.29%</w:t>
                  </w:r>
                </w:p>
              </w:tc>
              <w:tc>
                <w:tcPr>
                  <w:tcW w:w="660" w:type="dxa"/>
                  <w:vAlign w:val="center"/>
                </w:tcPr>
                <w:p w14:paraId="2BA73687"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3.09%</w:t>
                  </w:r>
                </w:p>
              </w:tc>
              <w:tc>
                <w:tcPr>
                  <w:tcW w:w="640" w:type="dxa"/>
                  <w:vAlign w:val="center"/>
                </w:tcPr>
                <w:p w14:paraId="48E3A1F3"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0.73%</w:t>
                  </w:r>
                </w:p>
              </w:tc>
              <w:tc>
                <w:tcPr>
                  <w:tcW w:w="650" w:type="dxa"/>
                  <w:vAlign w:val="center"/>
                </w:tcPr>
                <w:p w14:paraId="5FC8B700"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1.53%</w:t>
                  </w:r>
                </w:p>
              </w:tc>
              <w:tc>
                <w:tcPr>
                  <w:tcW w:w="650" w:type="dxa"/>
                  <w:vAlign w:val="center"/>
                </w:tcPr>
                <w:p w14:paraId="32215F0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2.66%</w:t>
                  </w:r>
                </w:p>
              </w:tc>
              <w:tc>
                <w:tcPr>
                  <w:tcW w:w="650" w:type="dxa"/>
                  <w:vAlign w:val="center"/>
                </w:tcPr>
                <w:p w14:paraId="45477C30"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0.43%</w:t>
                  </w:r>
                </w:p>
              </w:tc>
              <w:tc>
                <w:tcPr>
                  <w:tcW w:w="650" w:type="dxa"/>
                  <w:vAlign w:val="center"/>
                </w:tcPr>
                <w:p w14:paraId="627425D0"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-1.12%</w:t>
                  </w:r>
                </w:p>
              </w:tc>
              <w:tc>
                <w:tcPr>
                  <w:tcW w:w="650" w:type="dxa"/>
                  <w:vAlign w:val="center"/>
                </w:tcPr>
                <w:p w14:paraId="1CDB7761"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1.13%</w:t>
                  </w:r>
                </w:p>
              </w:tc>
              <w:tc>
                <w:tcPr>
                  <w:tcW w:w="650" w:type="dxa"/>
                  <w:vAlign w:val="center"/>
                </w:tcPr>
                <w:p w14:paraId="2A7F7D69"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0.95%</w:t>
                  </w:r>
                </w:p>
              </w:tc>
              <w:tc>
                <w:tcPr>
                  <w:tcW w:w="650" w:type="dxa"/>
                  <w:vAlign w:val="center"/>
                </w:tcPr>
                <w:p w14:paraId="77FAEF52"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-0.60%</w:t>
                  </w:r>
                </w:p>
              </w:tc>
              <w:tc>
                <w:tcPr>
                  <w:tcW w:w="801" w:type="dxa"/>
                  <w:vAlign w:val="center"/>
                </w:tcPr>
                <w:p w14:paraId="70BC163F"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6.09%</w:t>
                  </w:r>
                </w:p>
              </w:tc>
              <w:tc>
                <w:tcPr>
                  <w:tcW w:w="713" w:type="dxa"/>
                  <w:vAlign w:val="center"/>
                </w:tcPr>
                <w:p w14:paraId="7AAE59A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-2.26%</w:t>
                  </w:r>
                </w:p>
              </w:tc>
              <w:tc>
                <w:tcPr>
                  <w:tcW w:w="857" w:type="dxa"/>
                  <w:vAlign w:val="center"/>
                </w:tcPr>
                <w:p w14:paraId="0DB27C18"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10.52%</w:t>
                  </w:r>
                </w:p>
              </w:tc>
            </w:tr>
            <w:tr w:rsidR="00825411" w:rsidRPr="00D70A30" w14:paraId="15BC7246" w14:textId="77777777">
              <w:trPr>
                <w:trHeight w:val="38"/>
              </w:trPr>
              <w:tc>
                <w:tcPr>
                  <w:tcW w:w="534" w:type="dxa"/>
                  <w:shd w:val="clear" w:color="auto" w:fill="D9D9D9" w:themeFill="background1" w:themeFillShade="D9"/>
                  <w:vAlign w:val="center"/>
                </w:tcPr>
                <w:p w14:paraId="655C0ED1"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2015</w:t>
                  </w:r>
                </w:p>
              </w:tc>
              <w:tc>
                <w:tcPr>
                  <w:tcW w:w="767" w:type="dxa"/>
                  <w:vAlign w:val="center"/>
                </w:tcPr>
                <w:p w14:paraId="17B1600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7.71%</w:t>
                  </w:r>
                </w:p>
              </w:tc>
              <w:tc>
                <w:tcPr>
                  <w:tcW w:w="660" w:type="dxa"/>
                  <w:vAlign w:val="center"/>
                </w:tcPr>
                <w:p w14:paraId="0ABE19A2"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0.77%</w:t>
                  </w:r>
                </w:p>
              </w:tc>
              <w:tc>
                <w:tcPr>
                  <w:tcW w:w="640" w:type="dxa"/>
                  <w:vAlign w:val="center"/>
                </w:tcPr>
                <w:p w14:paraId="39E9FF9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5.42%</w:t>
                  </w:r>
                </w:p>
              </w:tc>
              <w:tc>
                <w:tcPr>
                  <w:tcW w:w="650" w:type="dxa"/>
                  <w:vAlign w:val="center"/>
                </w:tcPr>
                <w:p w14:paraId="60FF365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2.75%</w:t>
                  </w:r>
                </w:p>
              </w:tc>
              <w:tc>
                <w:tcPr>
                  <w:tcW w:w="650" w:type="dxa"/>
                  <w:vAlign w:val="center"/>
                </w:tcPr>
                <w:p w14:paraId="39D4BCC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-1.34%</w:t>
                  </w:r>
                </w:p>
              </w:tc>
              <w:tc>
                <w:tcPr>
                  <w:tcW w:w="650" w:type="dxa"/>
                  <w:vAlign w:val="center"/>
                </w:tcPr>
                <w:p w14:paraId="315B5DA9"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-4.10%</w:t>
                  </w:r>
                </w:p>
              </w:tc>
              <w:tc>
                <w:tcPr>
                  <w:tcW w:w="650" w:type="dxa"/>
                  <w:vAlign w:val="center"/>
                </w:tcPr>
                <w:p w14:paraId="1924F2C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3.76%</w:t>
                  </w:r>
                </w:p>
              </w:tc>
              <w:tc>
                <w:tcPr>
                  <w:tcW w:w="650" w:type="dxa"/>
                  <w:vAlign w:val="center"/>
                </w:tcPr>
                <w:p w14:paraId="3982F36B"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-8.30%</w:t>
                  </w:r>
                </w:p>
              </w:tc>
              <w:tc>
                <w:tcPr>
                  <w:tcW w:w="650" w:type="dxa"/>
                  <w:vAlign w:val="center"/>
                </w:tcPr>
                <w:p w14:paraId="6FC12703"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-0.70%</w:t>
                  </w:r>
                </w:p>
              </w:tc>
              <w:tc>
                <w:tcPr>
                  <w:tcW w:w="650" w:type="dxa"/>
                  <w:vAlign w:val="center"/>
                </w:tcPr>
                <w:p w14:paraId="60028171"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3.59%</w:t>
                  </w:r>
                </w:p>
              </w:tc>
              <w:tc>
                <w:tcPr>
                  <w:tcW w:w="801" w:type="dxa"/>
                  <w:vAlign w:val="center"/>
                </w:tcPr>
                <w:p w14:paraId="5B2CC6DB"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1.96%</w:t>
                  </w:r>
                </w:p>
              </w:tc>
              <w:tc>
                <w:tcPr>
                  <w:tcW w:w="713" w:type="dxa"/>
                  <w:vAlign w:val="center"/>
                </w:tcPr>
                <w:p w14:paraId="5FD5B49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-3.47%</w:t>
                  </w:r>
                </w:p>
              </w:tc>
              <w:tc>
                <w:tcPr>
                  <w:tcW w:w="857" w:type="dxa"/>
                  <w:vAlign w:val="center"/>
                </w:tcPr>
                <w:p w14:paraId="247E20C9"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8.19%</w:t>
                  </w:r>
                </w:p>
              </w:tc>
            </w:tr>
            <w:tr w:rsidR="00825411" w:rsidRPr="00D70A30" w14:paraId="191AEEB6" w14:textId="77777777">
              <w:trPr>
                <w:trHeight w:val="38"/>
              </w:trPr>
              <w:tc>
                <w:tcPr>
                  <w:tcW w:w="534" w:type="dxa"/>
                  <w:shd w:val="clear" w:color="auto" w:fill="D9D9D9" w:themeFill="background1" w:themeFillShade="D9"/>
                  <w:vAlign w:val="center"/>
                </w:tcPr>
                <w:p w14:paraId="7978A431"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2016</w:t>
                  </w:r>
                </w:p>
              </w:tc>
              <w:tc>
                <w:tcPr>
                  <w:tcW w:w="767" w:type="dxa"/>
                  <w:vAlign w:val="center"/>
                </w:tcPr>
                <w:p w14:paraId="243FF7EB"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-4.97%</w:t>
                  </w:r>
                </w:p>
              </w:tc>
              <w:tc>
                <w:tcPr>
                  <w:tcW w:w="660" w:type="dxa"/>
                  <w:vAlign w:val="center"/>
                </w:tcPr>
                <w:p w14:paraId="4516BF9F"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-1.93%</w:t>
                  </w:r>
                </w:p>
              </w:tc>
              <w:tc>
                <w:tcPr>
                  <w:tcW w:w="640" w:type="dxa"/>
                  <w:vAlign w:val="center"/>
                </w:tcPr>
                <w:p w14:paraId="14C21B0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1.56%</w:t>
                  </w:r>
                </w:p>
              </w:tc>
              <w:tc>
                <w:tcPr>
                  <w:tcW w:w="650" w:type="dxa"/>
                  <w:vAlign w:val="center"/>
                </w:tcPr>
                <w:p w14:paraId="759343A3"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1.94%</w:t>
                  </w:r>
                </w:p>
              </w:tc>
              <w:tc>
                <w:tcPr>
                  <w:tcW w:w="650" w:type="dxa"/>
                  <w:vAlign w:val="center"/>
                </w:tcPr>
                <w:p w14:paraId="2D96C697"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2.69%</w:t>
                  </w:r>
                </w:p>
              </w:tc>
              <w:tc>
                <w:tcPr>
                  <w:tcW w:w="650" w:type="dxa"/>
                  <w:vAlign w:val="center"/>
                </w:tcPr>
                <w:p w14:paraId="0C4D6ACC"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1.36%</w:t>
                  </w:r>
                </w:p>
              </w:tc>
              <w:tc>
                <w:tcPr>
                  <w:tcW w:w="650" w:type="dxa"/>
                  <w:vAlign w:val="center"/>
                </w:tcPr>
                <w:p w14:paraId="1106C2B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0.22%</w:t>
                  </w:r>
                </w:p>
              </w:tc>
              <w:tc>
                <w:tcPr>
                  <w:tcW w:w="650" w:type="dxa"/>
                  <w:vAlign w:val="center"/>
                </w:tcPr>
                <w:p w14:paraId="4B68BF92"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-1.65%</w:t>
                  </w:r>
                </w:p>
              </w:tc>
              <w:tc>
                <w:tcPr>
                  <w:tcW w:w="650" w:type="dxa"/>
                  <w:vAlign w:val="center"/>
                </w:tcPr>
                <w:p w14:paraId="0C8A1CC2"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0.46%</w:t>
                  </w:r>
                </w:p>
              </w:tc>
              <w:tc>
                <w:tcPr>
                  <w:tcW w:w="650" w:type="dxa"/>
                  <w:vAlign w:val="center"/>
                </w:tcPr>
                <w:p w14:paraId="297DF45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-1.04%</w:t>
                  </w:r>
                </w:p>
              </w:tc>
              <w:tc>
                <w:tcPr>
                  <w:tcW w:w="801" w:type="dxa"/>
                  <w:vAlign w:val="center"/>
                </w:tcPr>
                <w:p w14:paraId="6013EB2C"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-1.31%</w:t>
                  </w:r>
                </w:p>
              </w:tc>
              <w:tc>
                <w:tcPr>
                  <w:tcW w:w="713" w:type="dxa"/>
                  <w:vAlign w:val="center"/>
                </w:tcPr>
                <w:p w14:paraId="7731E5F3"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5.31%</w:t>
                  </w:r>
                </w:p>
              </w:tc>
              <w:tc>
                <w:tcPr>
                  <w:tcW w:w="857" w:type="dxa"/>
                  <w:vAlign w:val="center"/>
                </w:tcPr>
                <w:p w14:paraId="504F9BDB"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2.29%</w:t>
                  </w:r>
                </w:p>
              </w:tc>
            </w:tr>
            <w:tr w:rsidR="00825411" w:rsidRPr="00D70A30" w14:paraId="46E76559" w14:textId="77777777">
              <w:trPr>
                <w:trHeight w:val="38"/>
              </w:trPr>
              <w:tc>
                <w:tcPr>
                  <w:tcW w:w="534" w:type="dxa"/>
                  <w:shd w:val="clear" w:color="auto" w:fill="D9D9D9" w:themeFill="background1" w:themeFillShade="D9"/>
                  <w:vAlign w:val="center"/>
                </w:tcPr>
                <w:p w14:paraId="394480E7"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2017</w:t>
                  </w:r>
                </w:p>
              </w:tc>
              <w:tc>
                <w:tcPr>
                  <w:tcW w:w="767" w:type="dxa"/>
                  <w:vAlign w:val="center"/>
                </w:tcPr>
                <w:p w14:paraId="1411EE0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-0.31%</w:t>
                  </w:r>
                </w:p>
              </w:tc>
              <w:tc>
                <w:tcPr>
                  <w:tcW w:w="660" w:type="dxa"/>
                  <w:vAlign w:val="center"/>
                </w:tcPr>
                <w:p w14:paraId="0EE4EFF7"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2.65%</w:t>
                  </w:r>
                </w:p>
              </w:tc>
              <w:tc>
                <w:tcPr>
                  <w:tcW w:w="640" w:type="dxa"/>
                  <w:vAlign w:val="center"/>
                </w:tcPr>
                <w:p w14:paraId="7FD6886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2.99%</w:t>
                  </w:r>
                </w:p>
              </w:tc>
              <w:tc>
                <w:tcPr>
                  <w:tcW w:w="650" w:type="dxa"/>
                  <w:vAlign w:val="center"/>
                </w:tcPr>
                <w:p w14:paraId="643BE807"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0.94%</w:t>
                  </w:r>
                </w:p>
              </w:tc>
              <w:tc>
                <w:tcPr>
                  <w:tcW w:w="650" w:type="dxa"/>
                  <w:vAlign w:val="center"/>
                </w:tcPr>
                <w:p w14:paraId="69414442"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1.65%</w:t>
                  </w:r>
                </w:p>
              </w:tc>
              <w:tc>
                <w:tcPr>
                  <w:tcW w:w="650" w:type="dxa"/>
                  <w:vAlign w:val="center"/>
                </w:tcPr>
                <w:p w14:paraId="07E49184"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-2.27%</w:t>
                  </w:r>
                </w:p>
              </w:tc>
              <w:tc>
                <w:tcPr>
                  <w:tcW w:w="650" w:type="dxa"/>
                  <w:vAlign w:val="center"/>
                </w:tcPr>
                <w:p w14:paraId="66AF19E4"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-1.10%</w:t>
                  </w:r>
                </w:p>
              </w:tc>
              <w:tc>
                <w:tcPr>
                  <w:tcW w:w="650" w:type="dxa"/>
                  <w:vAlign w:val="center"/>
                </w:tcPr>
                <w:p w14:paraId="66812EB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0.06%</w:t>
                  </w:r>
                </w:p>
              </w:tc>
              <w:tc>
                <w:tcPr>
                  <w:tcW w:w="650" w:type="dxa"/>
                  <w:vAlign w:val="center"/>
                </w:tcPr>
                <w:p w14:paraId="04EA427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1.39%</w:t>
                  </w:r>
                </w:p>
              </w:tc>
              <w:tc>
                <w:tcPr>
                  <w:tcW w:w="650" w:type="dxa"/>
                  <w:vAlign w:val="center"/>
                </w:tcPr>
                <w:p w14:paraId="2A042E6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2.23%</w:t>
                  </w:r>
                </w:p>
              </w:tc>
              <w:tc>
                <w:tcPr>
                  <w:tcW w:w="801" w:type="dxa"/>
                  <w:vAlign w:val="center"/>
                </w:tcPr>
                <w:p w14:paraId="7D755CE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0.23%</w:t>
                  </w:r>
                </w:p>
              </w:tc>
              <w:tc>
                <w:tcPr>
                  <w:tcW w:w="713" w:type="dxa"/>
                  <w:vAlign w:val="center"/>
                </w:tcPr>
                <w:p w14:paraId="1A7A76F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-0.56%</w:t>
                  </w:r>
                </w:p>
              </w:tc>
              <w:tc>
                <w:tcPr>
                  <w:tcW w:w="857" w:type="dxa"/>
                  <w:vAlign w:val="center"/>
                </w:tcPr>
                <w:p w14:paraId="6733BD05"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8.03%</w:t>
                  </w:r>
                </w:p>
              </w:tc>
            </w:tr>
            <w:tr w:rsidR="00825411" w:rsidRPr="00D70A30" w14:paraId="3A5E451F" w14:textId="77777777">
              <w:trPr>
                <w:trHeight w:val="38"/>
              </w:trPr>
              <w:tc>
                <w:tcPr>
                  <w:tcW w:w="534" w:type="dxa"/>
                  <w:shd w:val="clear" w:color="auto" w:fill="D9D9D9" w:themeFill="background1" w:themeFillShade="D9"/>
                  <w:vAlign w:val="center"/>
                </w:tcPr>
                <w:p w14:paraId="3627DCD3"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2018</w:t>
                  </w:r>
                </w:p>
              </w:tc>
              <w:tc>
                <w:tcPr>
                  <w:tcW w:w="767" w:type="dxa"/>
                  <w:vAlign w:val="center"/>
                </w:tcPr>
                <w:p w14:paraId="324F6E29"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0.53%</w:t>
                  </w:r>
                </w:p>
              </w:tc>
              <w:tc>
                <w:tcPr>
                  <w:tcW w:w="660" w:type="dxa"/>
                  <w:vAlign w:val="center"/>
                </w:tcPr>
                <w:p w14:paraId="2C41D6C4"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-2.94%</w:t>
                  </w:r>
                </w:p>
              </w:tc>
              <w:tc>
                <w:tcPr>
                  <w:tcW w:w="640" w:type="dxa"/>
                  <w:vAlign w:val="center"/>
                </w:tcPr>
                <w:p w14:paraId="74D8D5B2"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-1.78%</w:t>
                  </w:r>
                </w:p>
              </w:tc>
              <w:tc>
                <w:tcPr>
                  <w:tcW w:w="650" w:type="dxa"/>
                  <w:vAlign w:val="center"/>
                </w:tcPr>
                <w:p w14:paraId="3D8B0C38"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3.40%</w:t>
                  </w:r>
                </w:p>
              </w:tc>
              <w:tc>
                <w:tcPr>
                  <w:tcW w:w="650" w:type="dxa"/>
                  <w:vAlign w:val="center"/>
                </w:tcPr>
                <w:p w14:paraId="1A60923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-0.54%</w:t>
                  </w:r>
                </w:p>
              </w:tc>
              <w:tc>
                <w:tcPr>
                  <w:tcW w:w="650" w:type="dxa"/>
                  <w:vAlign w:val="center"/>
                </w:tcPr>
                <w:p w14:paraId="05D71C7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-0.22%</w:t>
                  </w:r>
                </w:p>
              </w:tc>
              <w:tc>
                <w:tcPr>
                  <w:tcW w:w="650" w:type="dxa"/>
                  <w:vAlign w:val="center"/>
                </w:tcPr>
                <w:p w14:paraId="286B765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4.12%</w:t>
                  </w:r>
                </w:p>
              </w:tc>
              <w:tc>
                <w:tcPr>
                  <w:tcW w:w="650" w:type="dxa"/>
                  <w:vAlign w:val="center"/>
                </w:tcPr>
                <w:p w14:paraId="3DA8C106"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0.10%</w:t>
                  </w:r>
                </w:p>
              </w:tc>
              <w:tc>
                <w:tcPr>
                  <w:tcW w:w="650" w:type="dxa"/>
                  <w:vAlign w:val="center"/>
                </w:tcPr>
                <w:p w14:paraId="0E01EAF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0.30%</w:t>
                  </w:r>
                </w:p>
              </w:tc>
              <w:tc>
                <w:tcPr>
                  <w:tcW w:w="650" w:type="dxa"/>
                  <w:vAlign w:val="center"/>
                </w:tcPr>
                <w:p w14:paraId="7A9F826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-6.18%</w:t>
                  </w:r>
                </w:p>
              </w:tc>
              <w:tc>
                <w:tcPr>
                  <w:tcW w:w="801" w:type="dxa"/>
                  <w:vAlign w:val="center"/>
                </w:tcPr>
                <w:p w14:paraId="545BB676"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-0.31%</w:t>
                  </w:r>
                </w:p>
              </w:tc>
              <w:tc>
                <w:tcPr>
                  <w:tcW w:w="713" w:type="dxa"/>
                  <w:vAlign w:val="center"/>
                </w:tcPr>
                <w:p w14:paraId="5D73BA7C"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-8.12%</w:t>
                  </w:r>
                </w:p>
              </w:tc>
              <w:tc>
                <w:tcPr>
                  <w:tcW w:w="857" w:type="dxa"/>
                  <w:vAlign w:val="center"/>
                </w:tcPr>
                <w:p w14:paraId="3BC61D49"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-12.91%</w:t>
                  </w:r>
                </w:p>
              </w:tc>
            </w:tr>
            <w:tr w:rsidR="00825411" w:rsidRPr="00D70A30" w14:paraId="59FBA48C" w14:textId="77777777">
              <w:trPr>
                <w:trHeight w:val="38"/>
              </w:trPr>
              <w:tc>
                <w:tcPr>
                  <w:tcW w:w="534" w:type="dxa"/>
                  <w:shd w:val="clear" w:color="auto" w:fill="D9D9D9" w:themeFill="background1" w:themeFillShade="D9"/>
                  <w:vAlign w:val="center"/>
                </w:tcPr>
                <w:p w14:paraId="4D8E9AAA"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2019</w:t>
                  </w:r>
                </w:p>
              </w:tc>
              <w:tc>
                <w:tcPr>
                  <w:tcW w:w="767" w:type="dxa"/>
                  <w:vAlign w:val="center"/>
                </w:tcPr>
                <w:p w14:paraId="72D054E1"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6.88%</w:t>
                  </w:r>
                </w:p>
              </w:tc>
              <w:tc>
                <w:tcPr>
                  <w:tcW w:w="660" w:type="dxa"/>
                  <w:vAlign w:val="center"/>
                </w:tcPr>
                <w:p w14:paraId="3D5535DF"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5.52%</w:t>
                  </w:r>
                </w:p>
              </w:tc>
              <w:tc>
                <w:tcPr>
                  <w:tcW w:w="640" w:type="dxa"/>
                  <w:vAlign w:val="center"/>
                </w:tcPr>
                <w:p w14:paraId="090088D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2.43%</w:t>
                  </w:r>
                </w:p>
              </w:tc>
              <w:tc>
                <w:tcPr>
                  <w:tcW w:w="650" w:type="dxa"/>
                  <w:vAlign w:val="center"/>
                </w:tcPr>
                <w:p w14:paraId="748EC8B1"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2.52%</w:t>
                  </w:r>
                </w:p>
              </w:tc>
              <w:tc>
                <w:tcPr>
                  <w:tcW w:w="650" w:type="dxa"/>
                  <w:vAlign w:val="center"/>
                </w:tcPr>
                <w:p w14:paraId="24B622AB"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-3.48%</w:t>
                  </w:r>
                </w:p>
              </w:tc>
              <w:tc>
                <w:tcPr>
                  <w:tcW w:w="650" w:type="dxa"/>
                  <w:vAlign w:val="center"/>
                </w:tcPr>
                <w:p w14:paraId="7A5CB10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2.06%</w:t>
                  </w:r>
                </w:p>
              </w:tc>
              <w:tc>
                <w:tcPr>
                  <w:tcW w:w="650" w:type="dxa"/>
                  <w:vAlign w:val="center"/>
                </w:tcPr>
                <w:p w14:paraId="5100D24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0.51%</w:t>
                  </w:r>
                </w:p>
              </w:tc>
              <w:tc>
                <w:tcPr>
                  <w:tcW w:w="650" w:type="dxa"/>
                  <w:vAlign w:val="center"/>
                </w:tcPr>
                <w:p w14:paraId="2790D5F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0.41%</w:t>
                  </w:r>
                </w:p>
              </w:tc>
              <w:tc>
                <w:tcPr>
                  <w:tcW w:w="650" w:type="dxa"/>
                  <w:vAlign w:val="center"/>
                </w:tcPr>
                <w:p w14:paraId="7A6D90E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1.15%</w:t>
                  </w:r>
                </w:p>
              </w:tc>
              <w:tc>
                <w:tcPr>
                  <w:tcW w:w="650" w:type="dxa"/>
                  <w:vAlign w:val="center"/>
                </w:tcPr>
                <w:p w14:paraId="585D4A9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-0.27%</w:t>
                  </w:r>
                </w:p>
              </w:tc>
              <w:tc>
                <w:tcPr>
                  <w:tcW w:w="801" w:type="dxa"/>
                  <w:vAlign w:val="center"/>
                </w:tcPr>
                <w:p w14:paraId="0E030D6C"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0.67%</w:t>
                  </w:r>
                </w:p>
              </w:tc>
              <w:tc>
                <w:tcPr>
                  <w:tcW w:w="713" w:type="dxa"/>
                  <w:vAlign w:val="center"/>
                </w:tcPr>
                <w:p w14:paraId="2626B32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0.22%</w:t>
                  </w:r>
                </w:p>
              </w:tc>
              <w:tc>
                <w:tcPr>
                  <w:tcW w:w="857" w:type="dxa"/>
                  <w:vAlign w:val="center"/>
                </w:tcPr>
                <w:p w14:paraId="35B41E50"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19.79%</w:t>
                  </w:r>
                </w:p>
              </w:tc>
            </w:tr>
            <w:tr w:rsidR="00825411" w:rsidRPr="00D70A30" w14:paraId="23444BE7" w14:textId="77777777">
              <w:trPr>
                <w:trHeight w:val="38"/>
              </w:trPr>
              <w:tc>
                <w:tcPr>
                  <w:tcW w:w="534" w:type="dxa"/>
                  <w:shd w:val="clear" w:color="auto" w:fill="D9D9D9" w:themeFill="background1" w:themeFillShade="D9"/>
                  <w:vAlign w:val="center"/>
                </w:tcPr>
                <w:p w14:paraId="25E4859F"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2020</w:t>
                  </w:r>
                </w:p>
              </w:tc>
              <w:tc>
                <w:tcPr>
                  <w:tcW w:w="767" w:type="dxa"/>
                  <w:vAlign w:val="center"/>
                </w:tcPr>
                <w:p w14:paraId="4AE6FAC7"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-0.33%</w:t>
                  </w:r>
                </w:p>
              </w:tc>
              <w:tc>
                <w:tcPr>
                  <w:tcW w:w="660" w:type="dxa"/>
                  <w:vAlign w:val="center"/>
                </w:tcPr>
                <w:p w14:paraId="1A2F9237"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-8.12%</w:t>
                  </w:r>
                </w:p>
              </w:tc>
              <w:tc>
                <w:tcPr>
                  <w:tcW w:w="640" w:type="dxa"/>
                  <w:vAlign w:val="center"/>
                </w:tcPr>
                <w:p w14:paraId="2E090D5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-10.0%</w:t>
                  </w:r>
                </w:p>
              </w:tc>
              <w:tc>
                <w:tcPr>
                  <w:tcW w:w="650" w:type="dxa"/>
                  <w:vAlign w:val="center"/>
                </w:tcPr>
                <w:p w14:paraId="2C528A4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4.75%</w:t>
                  </w:r>
                </w:p>
              </w:tc>
              <w:tc>
                <w:tcPr>
                  <w:tcW w:w="650" w:type="dxa"/>
                  <w:vAlign w:val="center"/>
                </w:tcPr>
                <w:p w14:paraId="758F389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3.00%</w:t>
                  </w:r>
                </w:p>
              </w:tc>
              <w:tc>
                <w:tcPr>
                  <w:tcW w:w="650" w:type="dxa"/>
                  <w:vAlign w:val="center"/>
                </w:tcPr>
                <w:p w14:paraId="127B6D59"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4.63%</w:t>
                  </w:r>
                </w:p>
              </w:tc>
              <w:tc>
                <w:tcPr>
                  <w:tcW w:w="650" w:type="dxa"/>
                  <w:vAlign w:val="center"/>
                </w:tcPr>
                <w:p w14:paraId="241EBD7C"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-1.07%</w:t>
                  </w:r>
                </w:p>
              </w:tc>
              <w:tc>
                <w:tcPr>
                  <w:tcW w:w="650" w:type="dxa"/>
                  <w:vAlign w:val="center"/>
                </w:tcPr>
                <w:p w14:paraId="4A5802D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5.55%</w:t>
                  </w:r>
                </w:p>
              </w:tc>
              <w:tc>
                <w:tcPr>
                  <w:tcW w:w="650" w:type="dxa"/>
                  <w:vAlign w:val="center"/>
                </w:tcPr>
                <w:p w14:paraId="2D71757B"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-1.78%</w:t>
                  </w:r>
                </w:p>
              </w:tc>
              <w:tc>
                <w:tcPr>
                  <w:tcW w:w="650" w:type="dxa"/>
                  <w:vAlign w:val="center"/>
                </w:tcPr>
                <w:p w14:paraId="74B4A9D3"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-6.40%</w:t>
                  </w:r>
                </w:p>
              </w:tc>
              <w:tc>
                <w:tcPr>
                  <w:tcW w:w="801" w:type="dxa"/>
                  <w:vAlign w:val="center"/>
                </w:tcPr>
                <w:p w14:paraId="51E4020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13.6%</w:t>
                  </w:r>
                </w:p>
              </w:tc>
              <w:tc>
                <w:tcPr>
                  <w:tcW w:w="713" w:type="dxa"/>
                  <w:vAlign w:val="center"/>
                </w:tcPr>
                <w:p w14:paraId="332FBD69"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0.98%</w:t>
                  </w:r>
                </w:p>
              </w:tc>
              <w:tc>
                <w:tcPr>
                  <w:tcW w:w="857" w:type="dxa"/>
                  <w:vAlign w:val="center"/>
                </w:tcPr>
                <w:p w14:paraId="49823551"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2.39%</w:t>
                  </w:r>
                </w:p>
              </w:tc>
            </w:tr>
            <w:tr w:rsidR="00825411" w:rsidRPr="00D70A30" w14:paraId="4BF4E8C2" w14:textId="77777777">
              <w:trPr>
                <w:trHeight w:val="38"/>
              </w:trPr>
              <w:tc>
                <w:tcPr>
                  <w:tcW w:w="534" w:type="dxa"/>
                  <w:shd w:val="clear" w:color="auto" w:fill="D9D9D9" w:themeFill="background1" w:themeFillShade="D9"/>
                  <w:vAlign w:val="center"/>
                </w:tcPr>
                <w:p w14:paraId="0E20B0D7"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2021</w:t>
                  </w:r>
                </w:p>
              </w:tc>
              <w:tc>
                <w:tcPr>
                  <w:tcW w:w="767" w:type="dxa"/>
                  <w:vAlign w:val="center"/>
                </w:tcPr>
                <w:p w14:paraId="172CEC5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0.91%</w:t>
                  </w:r>
                </w:p>
              </w:tc>
              <w:tc>
                <w:tcPr>
                  <w:tcW w:w="660" w:type="dxa"/>
                  <w:vAlign w:val="center"/>
                </w:tcPr>
                <w:p w14:paraId="317497D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1.54%</w:t>
                  </w:r>
                </w:p>
              </w:tc>
              <w:tc>
                <w:tcPr>
                  <w:tcW w:w="640" w:type="dxa"/>
                  <w:vAlign w:val="center"/>
                </w:tcPr>
                <w:p w14:paraId="60F19D5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5.44%</w:t>
                  </w:r>
                </w:p>
              </w:tc>
              <w:tc>
                <w:tcPr>
                  <w:tcW w:w="650" w:type="dxa"/>
                  <w:vAlign w:val="center"/>
                </w:tcPr>
                <w:p w14:paraId="302F1AE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0.54%</w:t>
                  </w:r>
                </w:p>
              </w:tc>
              <w:tc>
                <w:tcPr>
                  <w:tcW w:w="650" w:type="dxa"/>
                  <w:vAlign w:val="center"/>
                </w:tcPr>
                <w:p w14:paraId="1A28F900"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1.97%</w:t>
                  </w:r>
                </w:p>
              </w:tc>
              <w:tc>
                <w:tcPr>
                  <w:tcW w:w="650" w:type="dxa"/>
                  <w:vAlign w:val="center"/>
                </w:tcPr>
                <w:p w14:paraId="30E534FD"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3.16%</w:t>
                  </w:r>
                </w:p>
              </w:tc>
              <w:tc>
                <w:tcPr>
                  <w:tcW w:w="650" w:type="dxa"/>
                  <w:vAlign w:val="center"/>
                </w:tcPr>
                <w:p w14:paraId="642EAC6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0.00%</w:t>
                  </w:r>
                </w:p>
              </w:tc>
              <w:tc>
                <w:tcPr>
                  <w:tcW w:w="650" w:type="dxa"/>
                  <w:vAlign w:val="center"/>
                </w:tcPr>
                <w:p w14:paraId="6D987A67"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1.81%</w:t>
                  </w:r>
                </w:p>
              </w:tc>
              <w:tc>
                <w:tcPr>
                  <w:tcW w:w="650" w:type="dxa"/>
                  <w:vAlign w:val="center"/>
                </w:tcPr>
                <w:p w14:paraId="0D9CA7D9"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-3.01%</w:t>
                  </w:r>
                </w:p>
              </w:tc>
              <w:tc>
                <w:tcPr>
                  <w:tcW w:w="650" w:type="dxa"/>
                  <w:vAlign w:val="center"/>
                </w:tcPr>
                <w:p w14:paraId="4DDFEEFF"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5.86%</w:t>
                  </w:r>
                </w:p>
              </w:tc>
              <w:tc>
                <w:tcPr>
                  <w:tcW w:w="801" w:type="dxa"/>
                  <w:vAlign w:val="center"/>
                </w:tcPr>
                <w:p w14:paraId="22E08B33"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-0.54%</w:t>
                  </w:r>
                </w:p>
              </w:tc>
              <w:tc>
                <w:tcPr>
                  <w:tcW w:w="713" w:type="dxa"/>
                  <w:vAlign w:val="center"/>
                </w:tcPr>
                <w:p w14:paraId="1B48DFD9"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+3.16%</w:t>
                  </w:r>
                </w:p>
              </w:tc>
              <w:tc>
                <w:tcPr>
                  <w:tcW w:w="857" w:type="dxa"/>
                  <w:vAlign w:val="center"/>
                </w:tcPr>
                <w:p w14:paraId="55C043C6"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22.54%</w:t>
                  </w:r>
                </w:p>
              </w:tc>
            </w:tr>
            <w:tr w:rsidR="00825411" w:rsidRPr="00D70A30" w14:paraId="371BEE13" w14:textId="77777777">
              <w:trPr>
                <w:trHeight w:val="38"/>
              </w:trPr>
              <w:tc>
                <w:tcPr>
                  <w:tcW w:w="534" w:type="dxa"/>
                  <w:shd w:val="clear" w:color="auto" w:fill="D9D9D9" w:themeFill="background1" w:themeFillShade="D9"/>
                  <w:vAlign w:val="center"/>
                </w:tcPr>
                <w:p w14:paraId="0D922E8D"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2022</w:t>
                  </w:r>
                </w:p>
              </w:tc>
              <w:tc>
                <w:tcPr>
                  <w:tcW w:w="767" w:type="dxa"/>
                  <w:vAlign w:val="center"/>
                </w:tcPr>
                <w:p w14:paraId="3C10830E"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-2.59%</w:t>
                  </w:r>
                </w:p>
              </w:tc>
              <w:tc>
                <w:tcPr>
                  <w:tcW w:w="660" w:type="dxa"/>
                  <w:vAlign w:val="center"/>
                </w:tcPr>
                <w:p w14:paraId="608093E4"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-6.62%</w:t>
                  </w:r>
                </w:p>
              </w:tc>
              <w:tc>
                <w:tcPr>
                  <w:tcW w:w="640" w:type="dxa"/>
                  <w:vAlign w:val="center"/>
                </w:tcPr>
                <w:p w14:paraId="3FB66992"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-0.23%</w:t>
                  </w:r>
                </w:p>
              </w:tc>
              <w:tc>
                <w:tcPr>
                  <w:tcW w:w="650" w:type="dxa"/>
                  <w:vAlign w:val="center"/>
                </w:tcPr>
                <w:p w14:paraId="53FCD46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0.0%</w:t>
                  </w:r>
                </w:p>
              </w:tc>
              <w:tc>
                <w:tcPr>
                  <w:tcW w:w="650" w:type="dxa"/>
                  <w:vAlign w:val="center"/>
                </w:tcPr>
                <w:p w14:paraId="256DC033"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-2.74%</w:t>
                  </w:r>
                </w:p>
              </w:tc>
              <w:tc>
                <w:tcPr>
                  <w:tcW w:w="650" w:type="dxa"/>
                  <w:vAlign w:val="center"/>
                </w:tcPr>
                <w:p w14:paraId="7E732842"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-5.63%</w:t>
                  </w:r>
                </w:p>
              </w:tc>
              <w:tc>
                <w:tcPr>
                  <w:tcW w:w="650" w:type="dxa"/>
                  <w:vAlign w:val="center"/>
                </w:tcPr>
                <w:p w14:paraId="22DC73F9"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5.96%</w:t>
                  </w:r>
                </w:p>
              </w:tc>
              <w:tc>
                <w:tcPr>
                  <w:tcW w:w="650" w:type="dxa"/>
                  <w:vAlign w:val="center"/>
                </w:tcPr>
                <w:p w14:paraId="7E59E501"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-3.64%</w:t>
                  </w:r>
                </w:p>
              </w:tc>
              <w:tc>
                <w:tcPr>
                  <w:tcW w:w="650" w:type="dxa"/>
                  <w:vAlign w:val="center"/>
                </w:tcPr>
                <w:p w14:paraId="59B3577D"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-5.71%</w:t>
                  </w:r>
                </w:p>
              </w:tc>
              <w:tc>
                <w:tcPr>
                  <w:tcW w:w="650" w:type="dxa"/>
                  <w:vAlign w:val="center"/>
                </w:tcPr>
                <w:p w14:paraId="503047A0"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5.80%</w:t>
                  </w:r>
                </w:p>
              </w:tc>
              <w:tc>
                <w:tcPr>
                  <w:tcW w:w="801" w:type="dxa"/>
                  <w:vAlign w:val="center"/>
                </w:tcPr>
                <w:p w14:paraId="6738B092"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4.61%</w:t>
                  </w:r>
                </w:p>
              </w:tc>
              <w:tc>
                <w:tcPr>
                  <w:tcW w:w="713" w:type="dxa"/>
                  <w:vAlign w:val="center"/>
                </w:tcPr>
                <w:p w14:paraId="04DABD04"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-3.81%</w:t>
                  </w:r>
                </w:p>
              </w:tc>
              <w:tc>
                <w:tcPr>
                  <w:tcW w:w="857" w:type="dxa"/>
                  <w:vAlign w:val="center"/>
                </w:tcPr>
                <w:p w14:paraId="5691EC1D"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-14.59%</w:t>
                  </w:r>
                </w:p>
              </w:tc>
            </w:tr>
            <w:tr w:rsidR="00825411" w:rsidRPr="00D70A30" w14:paraId="79B251D9" w14:textId="77777777">
              <w:trPr>
                <w:trHeight w:val="193"/>
              </w:trPr>
              <w:tc>
                <w:tcPr>
                  <w:tcW w:w="534" w:type="dxa"/>
                  <w:shd w:val="clear" w:color="auto" w:fill="D9D9D9" w:themeFill="background1" w:themeFillShade="D9"/>
                  <w:vAlign w:val="center"/>
                </w:tcPr>
                <w:p w14:paraId="45892B10" w14:textId="77777777" w:rsidR="00825411" w:rsidRPr="00D70A30" w:rsidRDefault="00825411">
                  <w:pPr>
                    <w:pStyle w:val="Heading1"/>
                    <w:spacing w:before="0"/>
                    <w:jc w:val="center"/>
                    <w:rPr>
                      <w:rFonts w:asciiTheme="minorHAnsi" w:hAnsiTheme="minorHAnsi"/>
                      <w:color w:val="auto"/>
                      <w:sz w:val="13"/>
                      <w:szCs w:val="13"/>
                      <w:lang w:val="en-US"/>
                    </w:rPr>
                  </w:pPr>
                  <w:r w:rsidRPr="00D70A30">
                    <w:rPr>
                      <w:rFonts w:asciiTheme="minorHAnsi" w:hAnsiTheme="minorHAnsi"/>
                      <w:color w:val="auto"/>
                      <w:sz w:val="13"/>
                      <w:szCs w:val="13"/>
                      <w:lang w:val="en-US"/>
                    </w:rPr>
                    <w:t>2023</w:t>
                  </w:r>
                </w:p>
              </w:tc>
              <w:tc>
                <w:tcPr>
                  <w:tcW w:w="767" w:type="dxa"/>
                  <w:vAlign w:val="center"/>
                </w:tcPr>
                <w:p w14:paraId="3A45EEB0"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3.84%</w:t>
                  </w:r>
                </w:p>
              </w:tc>
              <w:tc>
                <w:tcPr>
                  <w:tcW w:w="660" w:type="dxa"/>
                  <w:vAlign w:val="center"/>
                </w:tcPr>
                <w:p w14:paraId="27E2A2AA"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1.31%</w:t>
                  </w:r>
                </w:p>
              </w:tc>
              <w:tc>
                <w:tcPr>
                  <w:tcW w:w="640" w:type="dxa"/>
                  <w:vAlign w:val="center"/>
                </w:tcPr>
                <w:p w14:paraId="3C872D99"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1.94%</w:t>
                  </w:r>
                </w:p>
              </w:tc>
              <w:tc>
                <w:tcPr>
                  <w:tcW w:w="650" w:type="dxa"/>
                  <w:vAlign w:val="center"/>
                </w:tcPr>
                <w:p w14:paraId="28ED1841"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3.87%</w:t>
                  </w:r>
                </w:p>
              </w:tc>
              <w:tc>
                <w:tcPr>
                  <w:tcW w:w="650" w:type="dxa"/>
                  <w:vAlign w:val="center"/>
                </w:tcPr>
                <w:p w14:paraId="2AC84F01"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-2.50%</w:t>
                  </w:r>
                </w:p>
              </w:tc>
              <w:tc>
                <w:tcPr>
                  <w:tcW w:w="650" w:type="dxa"/>
                  <w:vAlign w:val="center"/>
                </w:tcPr>
                <w:p w14:paraId="618BA796"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1.60%</w:t>
                  </w:r>
                </w:p>
              </w:tc>
              <w:tc>
                <w:tcPr>
                  <w:tcW w:w="650" w:type="dxa"/>
                  <w:vAlign w:val="center"/>
                </w:tcPr>
                <w:p w14:paraId="45A9179C"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1.68%</w:t>
                  </w:r>
                </w:p>
              </w:tc>
              <w:tc>
                <w:tcPr>
                  <w:tcW w:w="650" w:type="dxa"/>
                  <w:vAlign w:val="center"/>
                </w:tcPr>
                <w:p w14:paraId="02FB87A7"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-1.54%</w:t>
                  </w:r>
                </w:p>
              </w:tc>
              <w:tc>
                <w:tcPr>
                  <w:tcW w:w="650" w:type="dxa"/>
                  <w:vAlign w:val="center"/>
                </w:tcPr>
                <w:p w14:paraId="068FCC31"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-3.25%</w:t>
                  </w:r>
                </w:p>
              </w:tc>
              <w:tc>
                <w:tcPr>
                  <w:tcW w:w="650" w:type="dxa"/>
                  <w:vAlign w:val="center"/>
                </w:tcPr>
                <w:p w14:paraId="559921F5"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-0.75%</w:t>
                  </w:r>
                </w:p>
              </w:tc>
              <w:tc>
                <w:tcPr>
                  <w:tcW w:w="801" w:type="dxa"/>
                  <w:vAlign w:val="center"/>
                </w:tcPr>
                <w:p w14:paraId="6EB8A0A3" w14:textId="77777777" w:rsidR="00825411" w:rsidRPr="00D70A30" w:rsidRDefault="00825411">
                  <w:pPr>
                    <w:pStyle w:val="Heading1"/>
                    <w:spacing w:before="0"/>
                    <w:jc w:val="center"/>
                    <w:rPr>
                      <w:rFonts w:asciiTheme="minorHAnsi" w:hAnsiTheme="minorHAnsi"/>
                      <w:b w:val="0"/>
                      <w:color w:val="auto"/>
                      <w:sz w:val="13"/>
                      <w:szCs w:val="13"/>
                      <w:lang w:val="en-US"/>
                    </w:rPr>
                  </w:pPr>
                  <w:r w:rsidRPr="00D70A30">
                    <w:rPr>
                      <w:rFonts w:asciiTheme="minorHAnsi" w:hAnsiTheme="minorHAnsi"/>
                      <w:b w:val="0"/>
                      <w:color w:val="auto"/>
                      <w:sz w:val="13"/>
                      <w:szCs w:val="13"/>
                      <w:lang w:val="en-US"/>
                    </w:rPr>
                    <w:t>3.79%</w:t>
                  </w:r>
                </w:p>
              </w:tc>
              <w:tc>
                <w:tcPr>
                  <w:tcW w:w="713" w:type="dxa"/>
                  <w:vAlign w:val="center"/>
                </w:tcPr>
                <w:p w14:paraId="3BF78CAB" w14:textId="0E53A847" w:rsidR="00825411" w:rsidRPr="00D70A30" w:rsidRDefault="00394C4C">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1.85%</w:t>
                  </w:r>
                </w:p>
              </w:tc>
              <w:tc>
                <w:tcPr>
                  <w:tcW w:w="857" w:type="dxa"/>
                  <w:vAlign w:val="center"/>
                </w:tcPr>
                <w:p w14:paraId="22DC54EA" w14:textId="13E89F0F" w:rsidR="00825411" w:rsidRPr="00D70A30" w:rsidRDefault="00825411">
                  <w:pPr>
                    <w:pStyle w:val="Heading1"/>
                    <w:spacing w:before="0"/>
                    <w:jc w:val="center"/>
                    <w:rPr>
                      <w:rFonts w:asciiTheme="minorHAnsi" w:hAnsiTheme="minorHAnsi"/>
                      <w:color w:val="auto"/>
                      <w:sz w:val="13"/>
                      <w:szCs w:val="13"/>
                      <w:lang w:val="en-US"/>
                    </w:rPr>
                  </w:pPr>
                  <w:r>
                    <w:rPr>
                      <w:rFonts w:asciiTheme="minorHAnsi" w:hAnsiTheme="minorHAnsi"/>
                      <w:color w:val="auto"/>
                      <w:sz w:val="13"/>
                      <w:szCs w:val="13"/>
                      <w:lang w:val="en-US"/>
                    </w:rPr>
                    <w:t>1</w:t>
                  </w:r>
                  <w:r w:rsidR="00394C4C">
                    <w:rPr>
                      <w:rFonts w:asciiTheme="minorHAnsi" w:hAnsiTheme="minorHAnsi"/>
                      <w:color w:val="auto"/>
                      <w:sz w:val="13"/>
                      <w:szCs w:val="13"/>
                      <w:lang w:val="en-US"/>
                    </w:rPr>
                    <w:t>2.13%</w:t>
                  </w:r>
                </w:p>
              </w:tc>
            </w:tr>
            <w:tr w:rsidR="00BF2FBD" w:rsidRPr="00D70A30" w14:paraId="0BB86C5B" w14:textId="77777777">
              <w:trPr>
                <w:trHeight w:val="193"/>
              </w:trPr>
              <w:tc>
                <w:tcPr>
                  <w:tcW w:w="534" w:type="dxa"/>
                  <w:shd w:val="clear" w:color="auto" w:fill="D9D9D9" w:themeFill="background1" w:themeFillShade="D9"/>
                  <w:vAlign w:val="center"/>
                </w:tcPr>
                <w:p w14:paraId="5C27C8A9" w14:textId="10B2D90E" w:rsidR="00BF2FBD" w:rsidRPr="00D70A30" w:rsidRDefault="00BF2FBD">
                  <w:pPr>
                    <w:pStyle w:val="Heading1"/>
                    <w:spacing w:before="0"/>
                    <w:jc w:val="center"/>
                    <w:rPr>
                      <w:rFonts w:asciiTheme="minorHAnsi" w:hAnsiTheme="minorHAnsi"/>
                      <w:color w:val="auto"/>
                      <w:sz w:val="13"/>
                      <w:szCs w:val="13"/>
                      <w:lang w:val="en-US"/>
                    </w:rPr>
                  </w:pPr>
                  <w:r>
                    <w:rPr>
                      <w:rFonts w:asciiTheme="minorHAnsi" w:hAnsiTheme="minorHAnsi"/>
                      <w:color w:val="auto"/>
                      <w:sz w:val="13"/>
                      <w:szCs w:val="13"/>
                      <w:lang w:val="en-US"/>
                    </w:rPr>
                    <w:t>2024</w:t>
                  </w:r>
                </w:p>
              </w:tc>
              <w:tc>
                <w:tcPr>
                  <w:tcW w:w="767" w:type="dxa"/>
                  <w:vAlign w:val="center"/>
                </w:tcPr>
                <w:p w14:paraId="7D49E3C4" w14:textId="2E4BA542" w:rsidR="00BF2FBD" w:rsidRPr="00D70A30" w:rsidRDefault="00BF2FBD">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1.32%</w:t>
                  </w:r>
                </w:p>
              </w:tc>
              <w:tc>
                <w:tcPr>
                  <w:tcW w:w="660" w:type="dxa"/>
                  <w:vAlign w:val="center"/>
                </w:tcPr>
                <w:p w14:paraId="16B3D762" w14:textId="5FCE7C5B" w:rsidR="00BF2FBD" w:rsidRPr="00D70A30" w:rsidRDefault="00FC6E0C">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3.15%</w:t>
                  </w:r>
                </w:p>
              </w:tc>
              <w:tc>
                <w:tcPr>
                  <w:tcW w:w="640" w:type="dxa"/>
                  <w:vAlign w:val="center"/>
                </w:tcPr>
                <w:p w14:paraId="0C5A83C6" w14:textId="5E7E3C8D" w:rsidR="00BF2FBD" w:rsidRPr="00D70A30" w:rsidRDefault="006857CD">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2.13%</w:t>
                  </w:r>
                </w:p>
              </w:tc>
              <w:tc>
                <w:tcPr>
                  <w:tcW w:w="650" w:type="dxa"/>
                  <w:vAlign w:val="center"/>
                </w:tcPr>
                <w:p w14:paraId="077E0D1D" w14:textId="029D470B" w:rsidR="00BF2FBD" w:rsidRPr="00D70A30" w:rsidRDefault="006F2FDD">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-1.23%</w:t>
                  </w:r>
                </w:p>
              </w:tc>
              <w:tc>
                <w:tcPr>
                  <w:tcW w:w="650" w:type="dxa"/>
                  <w:vAlign w:val="center"/>
                </w:tcPr>
                <w:p w14:paraId="09C9BE45" w14:textId="140910B3" w:rsidR="00BF2FBD" w:rsidRPr="00D70A30" w:rsidRDefault="001142C3">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1.38%</w:t>
                  </w:r>
                </w:p>
              </w:tc>
              <w:tc>
                <w:tcPr>
                  <w:tcW w:w="650" w:type="dxa"/>
                  <w:vAlign w:val="center"/>
                </w:tcPr>
                <w:p w14:paraId="1B952167" w14:textId="50B12572" w:rsidR="00BF2FBD" w:rsidRPr="00D70A30" w:rsidRDefault="00E06C99">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1.58%</w:t>
                  </w:r>
                </w:p>
              </w:tc>
              <w:tc>
                <w:tcPr>
                  <w:tcW w:w="650" w:type="dxa"/>
                  <w:vAlign w:val="center"/>
                </w:tcPr>
                <w:p w14:paraId="432F3912" w14:textId="5130DAFF" w:rsidR="00BF2FBD" w:rsidRPr="00D70A30" w:rsidRDefault="00182A34">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-0.45%</w:t>
                  </w:r>
                </w:p>
              </w:tc>
              <w:tc>
                <w:tcPr>
                  <w:tcW w:w="650" w:type="dxa"/>
                  <w:vAlign w:val="center"/>
                </w:tcPr>
                <w:p w14:paraId="05AD3A6A" w14:textId="1EE560CF" w:rsidR="00BF2FBD" w:rsidRPr="00D70A30" w:rsidRDefault="009347F6">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1.04%</w:t>
                  </w:r>
                </w:p>
              </w:tc>
              <w:tc>
                <w:tcPr>
                  <w:tcW w:w="650" w:type="dxa"/>
                  <w:vAlign w:val="center"/>
                </w:tcPr>
                <w:p w14:paraId="61A6A3F0" w14:textId="44B4268C" w:rsidR="00BF2FBD" w:rsidRPr="00D70A30" w:rsidRDefault="00C3341B">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-0.53%</w:t>
                  </w:r>
                </w:p>
              </w:tc>
              <w:tc>
                <w:tcPr>
                  <w:tcW w:w="650" w:type="dxa"/>
                  <w:vAlign w:val="center"/>
                </w:tcPr>
                <w:p w14:paraId="50EC0734" w14:textId="6BB24F26" w:rsidR="00BF2FBD" w:rsidRPr="00D70A30" w:rsidRDefault="00B41D61">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-1.08%</w:t>
                  </w:r>
                </w:p>
              </w:tc>
              <w:tc>
                <w:tcPr>
                  <w:tcW w:w="801" w:type="dxa"/>
                  <w:vAlign w:val="center"/>
                </w:tcPr>
                <w:p w14:paraId="09DD27A4" w14:textId="12C8713A" w:rsidR="00BF2FBD" w:rsidRPr="00D70A30" w:rsidRDefault="00DA188E">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1.22%</w:t>
                  </w:r>
                </w:p>
              </w:tc>
              <w:tc>
                <w:tcPr>
                  <w:tcW w:w="713" w:type="dxa"/>
                  <w:vAlign w:val="center"/>
                </w:tcPr>
                <w:p w14:paraId="04467894" w14:textId="2755649B" w:rsidR="00BF2FBD" w:rsidRDefault="00FF0411">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-2.01</w:t>
                  </w:r>
                </w:p>
              </w:tc>
              <w:tc>
                <w:tcPr>
                  <w:tcW w:w="857" w:type="dxa"/>
                  <w:vAlign w:val="center"/>
                </w:tcPr>
                <w:p w14:paraId="1E8C6982" w14:textId="090C0FEA" w:rsidR="00BF2FBD" w:rsidRDefault="00FF0411" w:rsidP="00FC6E0C">
                  <w:pPr>
                    <w:pStyle w:val="Heading1"/>
                    <w:spacing w:before="0"/>
                    <w:jc w:val="center"/>
                    <w:rPr>
                      <w:rFonts w:asciiTheme="minorHAnsi" w:hAnsiTheme="minorHAnsi"/>
                      <w:color w:val="auto"/>
                      <w:sz w:val="13"/>
                      <w:szCs w:val="13"/>
                      <w:lang w:val="en-US"/>
                    </w:rPr>
                  </w:pPr>
                  <w:r>
                    <w:rPr>
                      <w:rFonts w:asciiTheme="minorHAnsi" w:hAnsiTheme="minorHAnsi"/>
                      <w:color w:val="auto"/>
                      <w:sz w:val="13"/>
                      <w:szCs w:val="13"/>
                      <w:lang w:val="en-US"/>
                    </w:rPr>
                    <w:t>6.58</w:t>
                  </w:r>
                  <w:r w:rsidR="00DA188E">
                    <w:rPr>
                      <w:rFonts w:asciiTheme="minorHAnsi" w:hAnsiTheme="minorHAnsi"/>
                      <w:color w:val="auto"/>
                      <w:sz w:val="13"/>
                      <w:szCs w:val="13"/>
                      <w:lang w:val="en-US"/>
                    </w:rPr>
                    <w:t>%</w:t>
                  </w:r>
                </w:p>
              </w:tc>
            </w:tr>
            <w:tr w:rsidR="00814793" w:rsidRPr="00D70A30" w14:paraId="1BB83234" w14:textId="77777777">
              <w:trPr>
                <w:trHeight w:val="193"/>
              </w:trPr>
              <w:tc>
                <w:tcPr>
                  <w:tcW w:w="534" w:type="dxa"/>
                  <w:shd w:val="clear" w:color="auto" w:fill="D9D9D9" w:themeFill="background1" w:themeFillShade="D9"/>
                  <w:vAlign w:val="center"/>
                </w:tcPr>
                <w:p w14:paraId="3D810F72" w14:textId="67C28C2E" w:rsidR="00814793" w:rsidRDefault="00814793">
                  <w:pPr>
                    <w:pStyle w:val="Heading1"/>
                    <w:spacing w:before="0"/>
                    <w:jc w:val="center"/>
                    <w:rPr>
                      <w:rFonts w:asciiTheme="minorHAnsi" w:hAnsiTheme="minorHAnsi"/>
                      <w:color w:val="auto"/>
                      <w:sz w:val="13"/>
                      <w:szCs w:val="13"/>
                      <w:lang w:val="en-US"/>
                    </w:rPr>
                  </w:pPr>
                  <w:r>
                    <w:rPr>
                      <w:rFonts w:asciiTheme="minorHAnsi" w:hAnsiTheme="minorHAnsi"/>
                      <w:color w:val="auto"/>
                      <w:sz w:val="13"/>
                      <w:szCs w:val="13"/>
                      <w:lang w:val="en-US"/>
                    </w:rPr>
                    <w:t>2025</w:t>
                  </w:r>
                </w:p>
              </w:tc>
              <w:tc>
                <w:tcPr>
                  <w:tcW w:w="767" w:type="dxa"/>
                  <w:vAlign w:val="center"/>
                </w:tcPr>
                <w:p w14:paraId="1B3A56DE" w14:textId="4FD934E6" w:rsidR="00814793" w:rsidRDefault="00814793">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5.39%</w:t>
                  </w:r>
                </w:p>
              </w:tc>
              <w:tc>
                <w:tcPr>
                  <w:tcW w:w="660" w:type="dxa"/>
                  <w:vAlign w:val="center"/>
                </w:tcPr>
                <w:p w14:paraId="28233CF2" w14:textId="039A7601" w:rsidR="00814793" w:rsidRDefault="00445A3D">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w:t>
                  </w:r>
                  <w:r w:rsidR="0073323C">
                    <w:rPr>
                      <w:rFonts w:asciiTheme="minorHAnsi" w:hAnsiTheme="minorHAnsi"/>
                      <w:b w:val="0"/>
                      <w:color w:val="auto"/>
                      <w:sz w:val="13"/>
                      <w:szCs w:val="13"/>
                      <w:lang w:val="en-US"/>
                    </w:rPr>
                    <w:t>.</w:t>
                  </w:r>
                  <w:r>
                    <w:rPr>
                      <w:rFonts w:asciiTheme="minorHAnsi" w:hAnsiTheme="minorHAnsi"/>
                      <w:b w:val="0"/>
                      <w:color w:val="auto"/>
                      <w:sz w:val="13"/>
                      <w:szCs w:val="13"/>
                      <w:lang w:val="en-US"/>
                    </w:rPr>
                    <w:t>98%</w:t>
                  </w:r>
                </w:p>
              </w:tc>
              <w:tc>
                <w:tcPr>
                  <w:tcW w:w="640" w:type="dxa"/>
                  <w:vAlign w:val="center"/>
                </w:tcPr>
                <w:p w14:paraId="6AE5CF87" w14:textId="1DF4A6DD" w:rsidR="00814793" w:rsidRDefault="00880679">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-5.58%</w:t>
                  </w:r>
                </w:p>
              </w:tc>
              <w:tc>
                <w:tcPr>
                  <w:tcW w:w="650" w:type="dxa"/>
                  <w:vAlign w:val="center"/>
                </w:tcPr>
                <w:p w14:paraId="0D57500D" w14:textId="6E080668" w:rsidR="00814793" w:rsidRDefault="0095277D">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-1.84%</w:t>
                  </w:r>
                </w:p>
              </w:tc>
              <w:tc>
                <w:tcPr>
                  <w:tcW w:w="650" w:type="dxa"/>
                  <w:vAlign w:val="center"/>
                </w:tcPr>
                <w:p w14:paraId="69A6CCAD" w14:textId="6BFB522A" w:rsidR="00814793" w:rsidRDefault="00860B74">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3.56%</w:t>
                  </w:r>
                </w:p>
              </w:tc>
              <w:tc>
                <w:tcPr>
                  <w:tcW w:w="650" w:type="dxa"/>
                  <w:vAlign w:val="center"/>
                </w:tcPr>
                <w:p w14:paraId="3F06ED67" w14:textId="21496171" w:rsidR="00814793" w:rsidRDefault="00FA75B1">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-0.97%</w:t>
                  </w:r>
                </w:p>
              </w:tc>
              <w:tc>
                <w:tcPr>
                  <w:tcW w:w="650" w:type="dxa"/>
                  <w:vAlign w:val="center"/>
                </w:tcPr>
                <w:p w14:paraId="07CE591F" w14:textId="7E0CA06A" w:rsidR="00814793" w:rsidRDefault="0022613C">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-1.25%</w:t>
                  </w:r>
                </w:p>
              </w:tc>
              <w:tc>
                <w:tcPr>
                  <w:tcW w:w="650" w:type="dxa"/>
                  <w:vAlign w:val="center"/>
                </w:tcPr>
                <w:p w14:paraId="123D9F6E" w14:textId="1D36B5DC" w:rsidR="00814793" w:rsidRDefault="00341611">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-0.94%</w:t>
                  </w:r>
                </w:p>
              </w:tc>
              <w:tc>
                <w:tcPr>
                  <w:tcW w:w="650" w:type="dxa"/>
                  <w:vAlign w:val="center"/>
                </w:tcPr>
                <w:p w14:paraId="6119F608" w14:textId="072AA9F9" w:rsidR="00814793" w:rsidRDefault="00505BE4">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3.08%</w:t>
                  </w:r>
                </w:p>
              </w:tc>
              <w:tc>
                <w:tcPr>
                  <w:tcW w:w="650" w:type="dxa"/>
                  <w:vAlign w:val="center"/>
                </w:tcPr>
                <w:p w14:paraId="3C007E27" w14:textId="75653B33" w:rsidR="00814793" w:rsidRDefault="001026FF">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1.20%</w:t>
                  </w:r>
                </w:p>
              </w:tc>
              <w:tc>
                <w:tcPr>
                  <w:tcW w:w="801" w:type="dxa"/>
                  <w:vAlign w:val="center"/>
                </w:tcPr>
                <w:p w14:paraId="79F4718F" w14:textId="22B2F175" w:rsidR="00814793" w:rsidRDefault="0047296C">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-2.30%</w:t>
                  </w:r>
                </w:p>
              </w:tc>
              <w:tc>
                <w:tcPr>
                  <w:tcW w:w="713" w:type="dxa"/>
                  <w:vAlign w:val="center"/>
                </w:tcPr>
                <w:p w14:paraId="31B58186" w14:textId="36ABBB97" w:rsidR="00814793" w:rsidRDefault="00237938">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0.18%</w:t>
                  </w:r>
                </w:p>
              </w:tc>
              <w:tc>
                <w:tcPr>
                  <w:tcW w:w="857" w:type="dxa"/>
                  <w:vAlign w:val="center"/>
                </w:tcPr>
                <w:p w14:paraId="1B36ADDA" w14:textId="352FA2F7" w:rsidR="00814793" w:rsidRDefault="00237938" w:rsidP="00FC6E0C">
                  <w:pPr>
                    <w:pStyle w:val="Heading1"/>
                    <w:spacing w:before="0"/>
                    <w:jc w:val="center"/>
                    <w:rPr>
                      <w:rFonts w:asciiTheme="minorHAnsi" w:hAnsiTheme="minorHAnsi"/>
                      <w:color w:val="auto"/>
                      <w:sz w:val="13"/>
                      <w:szCs w:val="13"/>
                      <w:lang w:val="en-US"/>
                    </w:rPr>
                  </w:pPr>
                  <w:r>
                    <w:rPr>
                      <w:rFonts w:asciiTheme="minorHAnsi" w:hAnsiTheme="minorHAnsi"/>
                      <w:color w:val="auto"/>
                      <w:sz w:val="13"/>
                      <w:szCs w:val="13"/>
                      <w:lang w:val="en-US"/>
                    </w:rPr>
                    <w:t>2.02%</w:t>
                  </w:r>
                  <w:r w:rsidR="00445A3D">
                    <w:rPr>
                      <w:rFonts w:asciiTheme="minorHAnsi" w:hAnsiTheme="minorHAnsi"/>
                      <w:color w:val="auto"/>
                      <w:sz w:val="13"/>
                      <w:szCs w:val="13"/>
                      <w:lang w:val="en-US"/>
                    </w:rPr>
                    <w:t>%</w:t>
                  </w:r>
                </w:p>
              </w:tc>
            </w:tr>
            <w:tr w:rsidR="00161A5A" w:rsidRPr="00D70A30" w14:paraId="1657D531" w14:textId="77777777">
              <w:trPr>
                <w:trHeight w:val="193"/>
              </w:trPr>
              <w:tc>
                <w:tcPr>
                  <w:tcW w:w="534" w:type="dxa"/>
                  <w:shd w:val="clear" w:color="auto" w:fill="D9D9D9" w:themeFill="background1" w:themeFillShade="D9"/>
                  <w:vAlign w:val="center"/>
                </w:tcPr>
                <w:p w14:paraId="032FCE22" w14:textId="35DB2618" w:rsidR="00161A5A" w:rsidRDefault="00161A5A">
                  <w:pPr>
                    <w:pStyle w:val="Heading1"/>
                    <w:spacing w:before="0"/>
                    <w:jc w:val="center"/>
                    <w:rPr>
                      <w:rFonts w:asciiTheme="minorHAnsi" w:hAnsiTheme="minorHAnsi"/>
                      <w:color w:val="auto"/>
                      <w:sz w:val="13"/>
                      <w:szCs w:val="13"/>
                      <w:lang w:val="en-US"/>
                    </w:rPr>
                  </w:pPr>
                  <w:r>
                    <w:rPr>
                      <w:rFonts w:asciiTheme="minorHAnsi" w:hAnsiTheme="minorHAnsi"/>
                      <w:color w:val="auto"/>
                      <w:sz w:val="13"/>
                      <w:szCs w:val="13"/>
                      <w:lang w:val="en-US"/>
                    </w:rPr>
                    <w:t>2026</w:t>
                  </w:r>
                </w:p>
              </w:tc>
              <w:tc>
                <w:tcPr>
                  <w:tcW w:w="767" w:type="dxa"/>
                  <w:vAlign w:val="center"/>
                </w:tcPr>
                <w:p w14:paraId="5C03B0A9" w14:textId="41E422F9" w:rsidR="00161A5A" w:rsidRDefault="00161A5A">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2.24%</w:t>
                  </w:r>
                </w:p>
              </w:tc>
              <w:tc>
                <w:tcPr>
                  <w:tcW w:w="660" w:type="dxa"/>
                  <w:vAlign w:val="center"/>
                </w:tcPr>
                <w:p w14:paraId="149D3A16" w14:textId="6A3F3EE0" w:rsidR="00161A5A" w:rsidRDefault="000236D4">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5.09%</w:t>
                  </w:r>
                </w:p>
              </w:tc>
              <w:tc>
                <w:tcPr>
                  <w:tcW w:w="640" w:type="dxa"/>
                  <w:vAlign w:val="center"/>
                </w:tcPr>
                <w:p w14:paraId="6ECA1DAE" w14:textId="4ED246D2" w:rsidR="00161A5A" w:rsidRDefault="00E511AB">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-6.86%</w:t>
                  </w:r>
                </w:p>
              </w:tc>
              <w:tc>
                <w:tcPr>
                  <w:tcW w:w="650" w:type="dxa"/>
                  <w:vAlign w:val="center"/>
                </w:tcPr>
                <w:p w14:paraId="5AE1852F" w14:textId="47C8A98F" w:rsidR="00161A5A" w:rsidRDefault="00D10A98">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6.11%</w:t>
                  </w:r>
                </w:p>
              </w:tc>
              <w:tc>
                <w:tcPr>
                  <w:tcW w:w="650" w:type="dxa"/>
                  <w:vAlign w:val="center"/>
                </w:tcPr>
                <w:p w14:paraId="18BF4859" w14:textId="0E5D47AD" w:rsidR="00161A5A" w:rsidRDefault="001777FA">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5.20%</w:t>
                  </w:r>
                </w:p>
              </w:tc>
              <w:tc>
                <w:tcPr>
                  <w:tcW w:w="650" w:type="dxa"/>
                  <w:vAlign w:val="center"/>
                </w:tcPr>
                <w:p w14:paraId="7D4743DD" w14:textId="4573A514" w:rsidR="00161A5A" w:rsidRDefault="0094228A">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1.42%</w:t>
                  </w:r>
                </w:p>
              </w:tc>
              <w:tc>
                <w:tcPr>
                  <w:tcW w:w="650" w:type="dxa"/>
                  <w:vAlign w:val="center"/>
                </w:tcPr>
                <w:p w14:paraId="320364B4" w14:textId="5F0C285B" w:rsidR="00161A5A" w:rsidRDefault="00B72E48">
                  <w:pPr>
                    <w:pStyle w:val="Heading1"/>
                    <w:spacing w:before="0"/>
                    <w:jc w:val="center"/>
                    <w:rPr>
                      <w:rFonts w:asciiTheme="minorHAnsi" w:hAnsiTheme="minorHAnsi"/>
                      <w:b w:val="0"/>
                      <w:color w:val="auto"/>
                      <w:sz w:val="13"/>
                      <w:szCs w:val="13"/>
                      <w:lang w:val="en-US"/>
                    </w:rPr>
                  </w:pPr>
                  <w:r w:rsidRPr="00B72E48">
                    <w:rPr>
                      <w:rFonts w:asciiTheme="minorHAnsi" w:hAnsiTheme="minorHAnsi"/>
                      <w:b w:val="0"/>
                      <w:color w:val="auto"/>
                      <w:sz w:val="13"/>
                      <w:szCs w:val="13"/>
                      <w:lang w:val="en-US"/>
                    </w:rPr>
                    <w:t>-1.11%</w:t>
                  </w:r>
                </w:p>
              </w:tc>
              <w:tc>
                <w:tcPr>
                  <w:tcW w:w="650" w:type="dxa"/>
                  <w:vAlign w:val="center"/>
                </w:tcPr>
                <w:p w14:paraId="473B2B20" w14:textId="30C3FCB4" w:rsidR="00161A5A" w:rsidRDefault="0072171E">
                  <w:pPr>
                    <w:pStyle w:val="Heading1"/>
                    <w:spacing w:before="0"/>
                    <w:jc w:val="center"/>
                    <w:rPr>
                      <w:rFonts w:asciiTheme="minorHAnsi" w:hAnsiTheme="minorHAnsi"/>
                      <w:b w:val="0"/>
                      <w:color w:val="auto"/>
                      <w:sz w:val="13"/>
                      <w:szCs w:val="13"/>
                      <w:lang w:val="en-US"/>
                    </w:rPr>
                  </w:pPr>
                  <w:r>
                    <w:rPr>
                      <w:rFonts w:asciiTheme="minorHAnsi" w:hAnsiTheme="minorHAnsi"/>
                      <w:b w:val="0"/>
                      <w:color w:val="auto"/>
                      <w:sz w:val="13"/>
                      <w:szCs w:val="13"/>
                      <w:lang w:val="en-US"/>
                    </w:rPr>
                    <w:t>0.55%</w:t>
                  </w:r>
                </w:p>
              </w:tc>
              <w:tc>
                <w:tcPr>
                  <w:tcW w:w="650" w:type="dxa"/>
                  <w:vAlign w:val="center"/>
                </w:tcPr>
                <w:p w14:paraId="43F24D61" w14:textId="77777777" w:rsidR="00161A5A" w:rsidRDefault="00161A5A">
                  <w:pPr>
                    <w:pStyle w:val="Heading1"/>
                    <w:spacing w:before="0"/>
                    <w:jc w:val="center"/>
                    <w:rPr>
                      <w:rFonts w:asciiTheme="minorHAnsi" w:hAnsiTheme="minorHAnsi"/>
                      <w:b w:val="0"/>
                      <w:color w:val="auto"/>
                      <w:sz w:val="13"/>
                      <w:szCs w:val="13"/>
                      <w:lang w:val="en-US"/>
                    </w:rPr>
                  </w:pPr>
                </w:p>
              </w:tc>
              <w:tc>
                <w:tcPr>
                  <w:tcW w:w="650" w:type="dxa"/>
                  <w:vAlign w:val="center"/>
                </w:tcPr>
                <w:p w14:paraId="418F6B83" w14:textId="77777777" w:rsidR="00161A5A" w:rsidRDefault="00161A5A">
                  <w:pPr>
                    <w:pStyle w:val="Heading1"/>
                    <w:spacing w:before="0"/>
                    <w:jc w:val="center"/>
                    <w:rPr>
                      <w:rFonts w:asciiTheme="minorHAnsi" w:hAnsiTheme="minorHAnsi"/>
                      <w:b w:val="0"/>
                      <w:color w:val="auto"/>
                      <w:sz w:val="13"/>
                      <w:szCs w:val="13"/>
                      <w:lang w:val="en-US"/>
                    </w:rPr>
                  </w:pPr>
                </w:p>
              </w:tc>
              <w:tc>
                <w:tcPr>
                  <w:tcW w:w="801" w:type="dxa"/>
                  <w:vAlign w:val="center"/>
                </w:tcPr>
                <w:p w14:paraId="361C624C" w14:textId="77777777" w:rsidR="00161A5A" w:rsidRDefault="00161A5A">
                  <w:pPr>
                    <w:pStyle w:val="Heading1"/>
                    <w:spacing w:before="0"/>
                    <w:jc w:val="center"/>
                    <w:rPr>
                      <w:rFonts w:asciiTheme="minorHAnsi" w:hAnsiTheme="minorHAnsi"/>
                      <w:b w:val="0"/>
                      <w:color w:val="auto"/>
                      <w:sz w:val="13"/>
                      <w:szCs w:val="13"/>
                      <w:lang w:val="en-US"/>
                    </w:rPr>
                  </w:pPr>
                </w:p>
              </w:tc>
              <w:tc>
                <w:tcPr>
                  <w:tcW w:w="713" w:type="dxa"/>
                  <w:vAlign w:val="center"/>
                </w:tcPr>
                <w:p w14:paraId="79F3D20D" w14:textId="77777777" w:rsidR="00161A5A" w:rsidRDefault="00161A5A">
                  <w:pPr>
                    <w:pStyle w:val="Heading1"/>
                    <w:spacing w:before="0"/>
                    <w:jc w:val="center"/>
                    <w:rPr>
                      <w:rFonts w:asciiTheme="minorHAnsi" w:hAnsiTheme="minorHAnsi"/>
                      <w:b w:val="0"/>
                      <w:color w:val="auto"/>
                      <w:sz w:val="13"/>
                      <w:szCs w:val="13"/>
                      <w:lang w:val="en-US"/>
                    </w:rPr>
                  </w:pPr>
                </w:p>
              </w:tc>
              <w:tc>
                <w:tcPr>
                  <w:tcW w:w="857" w:type="dxa"/>
                  <w:vAlign w:val="center"/>
                </w:tcPr>
                <w:p w14:paraId="19CE31C3" w14:textId="0FA87231" w:rsidR="00161A5A" w:rsidRDefault="0072171E" w:rsidP="00FC6E0C">
                  <w:pPr>
                    <w:pStyle w:val="Heading1"/>
                    <w:spacing w:before="0"/>
                    <w:jc w:val="center"/>
                    <w:rPr>
                      <w:rFonts w:asciiTheme="minorHAnsi" w:hAnsiTheme="minorHAnsi"/>
                      <w:color w:val="auto"/>
                      <w:sz w:val="13"/>
                      <w:szCs w:val="13"/>
                      <w:lang w:val="en-US"/>
                    </w:rPr>
                  </w:pPr>
                  <w:r>
                    <w:rPr>
                      <w:rFonts w:asciiTheme="minorHAnsi" w:hAnsiTheme="minorHAnsi"/>
                      <w:color w:val="auto"/>
                      <w:sz w:val="13"/>
                      <w:szCs w:val="13"/>
                      <w:lang w:val="en-US"/>
                    </w:rPr>
                    <w:t>12.65</w:t>
                  </w:r>
                  <w:r w:rsidR="00B72E48" w:rsidRPr="00B72E48">
                    <w:rPr>
                      <w:rFonts w:asciiTheme="minorHAnsi" w:hAnsiTheme="minorHAnsi"/>
                      <w:color w:val="auto"/>
                      <w:sz w:val="13"/>
                      <w:szCs w:val="13"/>
                      <w:lang w:val="en-US"/>
                    </w:rPr>
                    <w:t>%</w:t>
                  </w:r>
                </w:p>
              </w:tc>
            </w:tr>
          </w:tbl>
          <w:p w14:paraId="46FEDD0E" w14:textId="77777777" w:rsidR="00825411" w:rsidRDefault="00825411" w:rsidP="00C4745C">
            <w:pPr>
              <w:pStyle w:val="Heading1"/>
              <w:spacing w:before="0"/>
              <w:rPr>
                <w:rFonts w:asciiTheme="minorHAnsi" w:hAnsiTheme="minorHAnsi"/>
                <w:color w:val="C00000"/>
                <w:sz w:val="24"/>
                <w:lang w:val="en-US"/>
              </w:rPr>
            </w:pPr>
            <w:r w:rsidRPr="00394C4C">
              <w:rPr>
                <w:rFonts w:asciiTheme="minorHAnsi" w:hAnsiTheme="minorHAnsi"/>
                <w:color w:val="C00000"/>
                <w:sz w:val="24"/>
                <w:lang w:val="en-US"/>
              </w:rPr>
              <w:t>Figures &amp; Ratios</w:t>
            </w:r>
          </w:p>
          <w:p w14:paraId="4BA0874D" w14:textId="49D73123" w:rsidR="005715AE" w:rsidRDefault="002D3B5D" w:rsidP="005715AE">
            <w:pPr>
              <w:jc w:val="center"/>
              <w:rPr>
                <w:iCs/>
                <w:sz w:val="14"/>
                <w:szCs w:val="14"/>
                <w:lang w:val="en-GB"/>
              </w:rPr>
            </w:pPr>
            <w:r w:rsidRPr="002D3B5D">
              <w:rPr>
                <w:iCs/>
                <w:noProof/>
                <w:sz w:val="14"/>
                <w:szCs w:val="14"/>
                <w:lang w:val="en-GB"/>
              </w:rPr>
              <w:drawing>
                <wp:inline distT="0" distB="0" distL="0" distR="0" wp14:anchorId="0C99B15A" wp14:editId="746E62F4">
                  <wp:extent cx="6048375" cy="1743075"/>
                  <wp:effectExtent l="0" t="0" r="9525" b="9525"/>
                  <wp:docPr id="2071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48375" cy="1743075"/>
                          </a:xfrm>
                          <a:prstGeom prst="rect">
                            <a:avLst/>
                          </a:prstGeom>
                          <a:noFill/>
                          <a:ln>
                            <a:noFill/>
                          </a:ln>
                        </pic:spPr>
                      </pic:pic>
                    </a:graphicData>
                  </a:graphic>
                </wp:inline>
              </w:drawing>
            </w:r>
          </w:p>
          <w:p w14:paraId="48FADE8E" w14:textId="1ABBABA5" w:rsidR="005715AE" w:rsidRPr="005715AE" w:rsidRDefault="006021A7" w:rsidP="005715AE">
            <w:pPr>
              <w:rPr>
                <w:lang w:val="en-US"/>
              </w:rPr>
            </w:pPr>
            <w:r w:rsidRPr="006021A7">
              <w:rPr>
                <w:noProof/>
                <w:lang w:val="en-US" w:eastAsia="de-CH"/>
              </w:rPr>
              <w:drawing>
                <wp:inline distT="0" distB="0" distL="0" distR="0" wp14:anchorId="58D91648" wp14:editId="41EF750B">
                  <wp:extent cx="2241246" cy="1695450"/>
                  <wp:effectExtent l="0" t="0" r="6985" b="0"/>
                  <wp:docPr id="454123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45433" cy="1698617"/>
                          </a:xfrm>
                          <a:prstGeom prst="rect">
                            <a:avLst/>
                          </a:prstGeom>
                          <a:noFill/>
                          <a:ln>
                            <a:noFill/>
                          </a:ln>
                        </pic:spPr>
                      </pic:pic>
                    </a:graphicData>
                  </a:graphic>
                </wp:inline>
              </w:drawing>
            </w:r>
            <w:r w:rsidR="005715AE" w:rsidRPr="005B0F2F">
              <w:rPr>
                <w:noProof/>
                <w:lang w:val="en-US" w:eastAsia="de-CH"/>
              </w:rPr>
              <w:t xml:space="preserve"> </w:t>
            </w:r>
            <w:r w:rsidR="005715AE">
              <w:rPr>
                <w:noProof/>
                <w14:ligatures w14:val="standardContextual"/>
              </w:rPr>
              <w:t xml:space="preserve">  </w:t>
            </w:r>
            <w:r w:rsidR="006E4979" w:rsidRPr="006E4979">
              <w:rPr>
                <w:noProof/>
                <w14:ligatures w14:val="standardContextual"/>
              </w:rPr>
              <w:drawing>
                <wp:inline distT="0" distB="0" distL="0" distR="0" wp14:anchorId="56F89B30" wp14:editId="32432678">
                  <wp:extent cx="2120900" cy="1766795"/>
                  <wp:effectExtent l="0" t="0" r="0" b="5080"/>
                  <wp:docPr id="1349687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687719" name=""/>
                          <pic:cNvPicPr/>
                        </pic:nvPicPr>
                        <pic:blipFill>
                          <a:blip r:embed="rId11"/>
                          <a:stretch>
                            <a:fillRect/>
                          </a:stretch>
                        </pic:blipFill>
                        <pic:spPr>
                          <a:xfrm>
                            <a:off x="0" y="0"/>
                            <a:ext cx="2125127" cy="1770317"/>
                          </a:xfrm>
                          <a:prstGeom prst="rect">
                            <a:avLst/>
                          </a:prstGeom>
                        </pic:spPr>
                      </pic:pic>
                    </a:graphicData>
                  </a:graphic>
                </wp:inline>
              </w:drawing>
            </w:r>
          </w:p>
        </w:tc>
        <w:tc>
          <w:tcPr>
            <w:tcW w:w="10318" w:type="dxa"/>
          </w:tcPr>
          <w:p w14:paraId="56D22C80" w14:textId="77777777" w:rsidR="00825411" w:rsidRDefault="00825411">
            <w:pPr>
              <w:pStyle w:val="Heading1"/>
              <w:spacing w:before="0"/>
              <w:jc w:val="center"/>
              <w:rPr>
                <w:rFonts w:asciiTheme="minorHAnsi" w:hAnsiTheme="minorHAnsi"/>
                <w:color w:val="auto"/>
                <w:sz w:val="15"/>
                <w:szCs w:val="15"/>
                <w:lang w:val="en-US"/>
              </w:rPr>
            </w:pPr>
          </w:p>
          <w:p w14:paraId="5B38B6A4" w14:textId="77777777" w:rsidR="0031111E" w:rsidRPr="0031111E" w:rsidRDefault="0031111E" w:rsidP="0031111E">
            <w:pPr>
              <w:rPr>
                <w:lang w:val="en-US"/>
              </w:rPr>
            </w:pPr>
          </w:p>
        </w:tc>
      </w:tr>
    </w:tbl>
    <w:p w14:paraId="081A542B" w14:textId="77777777" w:rsidR="00E337E2" w:rsidRDefault="00E337E2"/>
    <w:tbl>
      <w:tblPr>
        <w:tblStyle w:val="TableGrid"/>
        <w:tblW w:w="978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shd w:val="clear" w:color="auto" w:fill="F2F2F2" w:themeFill="background1" w:themeFillShade="F2"/>
        <w:tblLayout w:type="fixed"/>
        <w:tblLook w:val="04A0" w:firstRow="1" w:lastRow="0" w:firstColumn="1" w:lastColumn="0" w:noHBand="0" w:noVBand="1"/>
      </w:tblPr>
      <w:tblGrid>
        <w:gridCol w:w="5529"/>
        <w:gridCol w:w="4252"/>
      </w:tblGrid>
      <w:tr w:rsidR="00825411" w:rsidRPr="00835938" w14:paraId="4B1A40DE" w14:textId="77777777" w:rsidTr="00E337E2">
        <w:trPr>
          <w:trHeight w:val="317"/>
        </w:trPr>
        <w:tc>
          <w:tcPr>
            <w:tcW w:w="5529" w:type="dxa"/>
            <w:tcBorders>
              <w:top w:val="nil"/>
              <w:left w:val="nil"/>
              <w:bottom w:val="nil"/>
              <w:right w:val="nil"/>
            </w:tcBorders>
            <w:shd w:val="clear" w:color="auto" w:fill="F2F2F2" w:themeFill="background1" w:themeFillShade="F2"/>
          </w:tcPr>
          <w:p w14:paraId="7BDFEF4A" w14:textId="77777777" w:rsidR="00825411" w:rsidRDefault="00825411">
            <w:pPr>
              <w:spacing w:after="0"/>
              <w:rPr>
                <w:sz w:val="10"/>
                <w:lang w:val="en-US"/>
              </w:rPr>
            </w:pPr>
          </w:p>
          <w:p w14:paraId="6D57E18C" w14:textId="35821CA6" w:rsidR="00825411" w:rsidRPr="003D16EC" w:rsidRDefault="00825411">
            <w:pPr>
              <w:spacing w:after="0"/>
              <w:rPr>
                <w:b/>
                <w:color w:val="C00000"/>
                <w:sz w:val="24"/>
                <w:lang w:val="en-US"/>
              </w:rPr>
            </w:pPr>
            <w:r w:rsidRPr="00835938">
              <w:rPr>
                <w:b/>
                <w:color w:val="C00000"/>
                <w:sz w:val="24"/>
                <w:lang w:val="en-US"/>
              </w:rPr>
              <w:t>Certificate Terms</w:t>
            </w:r>
          </w:p>
          <w:p w14:paraId="5F74AB8C" w14:textId="77777777" w:rsidR="00825411" w:rsidRPr="00493A15" w:rsidRDefault="00825411">
            <w:pPr>
              <w:spacing w:after="0"/>
              <w:rPr>
                <w:sz w:val="18"/>
                <w:szCs w:val="18"/>
                <w:lang w:val="en-US"/>
              </w:rPr>
            </w:pPr>
            <w:r w:rsidRPr="00493A15">
              <w:rPr>
                <w:sz w:val="18"/>
                <w:szCs w:val="18"/>
                <w:lang w:val="en-US"/>
              </w:rPr>
              <w:t xml:space="preserve">Issuer: UBS AG </w:t>
            </w:r>
          </w:p>
          <w:p w14:paraId="19E60516" w14:textId="77777777" w:rsidR="00825411" w:rsidRPr="00493A15" w:rsidRDefault="00825411">
            <w:pPr>
              <w:spacing w:after="0"/>
              <w:rPr>
                <w:sz w:val="18"/>
                <w:szCs w:val="18"/>
                <w:lang w:val="en-US"/>
              </w:rPr>
            </w:pPr>
            <w:r w:rsidRPr="00493A15">
              <w:rPr>
                <w:sz w:val="18"/>
                <w:szCs w:val="18"/>
                <w:lang w:val="en-US"/>
              </w:rPr>
              <w:t>Advisor: Aspermont Capital AG</w:t>
            </w:r>
          </w:p>
          <w:p w14:paraId="285DCDB3" w14:textId="77777777" w:rsidR="00825411" w:rsidRPr="00493A15" w:rsidRDefault="00825411">
            <w:pPr>
              <w:spacing w:after="0"/>
              <w:rPr>
                <w:sz w:val="18"/>
                <w:szCs w:val="18"/>
                <w:lang w:val="en-US"/>
              </w:rPr>
            </w:pPr>
            <w:r w:rsidRPr="00493A15">
              <w:rPr>
                <w:sz w:val="18"/>
                <w:szCs w:val="18"/>
                <w:lang w:val="en-US"/>
              </w:rPr>
              <w:t>ISIN: CH0215884732</w:t>
            </w:r>
          </w:p>
          <w:p w14:paraId="31A9020D" w14:textId="77777777" w:rsidR="00825411" w:rsidRPr="00493A15" w:rsidRDefault="00825411">
            <w:pPr>
              <w:spacing w:after="0"/>
              <w:rPr>
                <w:sz w:val="18"/>
                <w:szCs w:val="18"/>
                <w:lang w:val="en-US"/>
              </w:rPr>
            </w:pPr>
            <w:r w:rsidRPr="00493A15">
              <w:rPr>
                <w:sz w:val="18"/>
                <w:szCs w:val="18"/>
                <w:lang w:val="en-US"/>
              </w:rPr>
              <w:t>Profile: Tracker-Certificate (SVSP-Code: 1300)</w:t>
            </w:r>
          </w:p>
          <w:p w14:paraId="3BC08523" w14:textId="77777777" w:rsidR="00825411" w:rsidRPr="00835938" w:rsidRDefault="00825411">
            <w:pPr>
              <w:spacing w:after="0"/>
              <w:rPr>
                <w:sz w:val="20"/>
                <w:lang w:val="en-US"/>
              </w:rPr>
            </w:pPr>
            <w:r w:rsidRPr="00493A15">
              <w:rPr>
                <w:sz w:val="18"/>
                <w:szCs w:val="18"/>
                <w:lang w:val="en-US"/>
              </w:rPr>
              <w:t>Launch date: June 2013</w:t>
            </w:r>
          </w:p>
        </w:tc>
        <w:tc>
          <w:tcPr>
            <w:tcW w:w="4252" w:type="dxa"/>
            <w:tcBorders>
              <w:top w:val="nil"/>
              <w:left w:val="nil"/>
              <w:bottom w:val="nil"/>
              <w:right w:val="nil"/>
            </w:tcBorders>
            <w:shd w:val="clear" w:color="auto" w:fill="F2F2F2" w:themeFill="background1" w:themeFillShade="F2"/>
          </w:tcPr>
          <w:p w14:paraId="63C07671" w14:textId="77777777" w:rsidR="00825411" w:rsidRPr="00835938" w:rsidRDefault="00825411">
            <w:pPr>
              <w:spacing w:after="0"/>
              <w:rPr>
                <w:sz w:val="10"/>
                <w:lang w:val="en-US"/>
              </w:rPr>
            </w:pPr>
          </w:p>
          <w:p w14:paraId="5416688F" w14:textId="77777777" w:rsidR="00825411" w:rsidRDefault="00825411">
            <w:pPr>
              <w:spacing w:after="0"/>
              <w:rPr>
                <w:sz w:val="18"/>
                <w:szCs w:val="18"/>
                <w:lang w:val="en-US"/>
              </w:rPr>
            </w:pPr>
          </w:p>
          <w:p w14:paraId="7AB61E3F" w14:textId="77777777" w:rsidR="00825411" w:rsidRPr="00493A15" w:rsidRDefault="00825411">
            <w:pPr>
              <w:spacing w:after="0"/>
              <w:rPr>
                <w:sz w:val="18"/>
                <w:szCs w:val="18"/>
                <w:lang w:val="en-US"/>
              </w:rPr>
            </w:pPr>
            <w:r w:rsidRPr="00493A15">
              <w:rPr>
                <w:sz w:val="18"/>
                <w:szCs w:val="18"/>
                <w:lang w:val="en-US"/>
              </w:rPr>
              <w:t>Currency: EUR</w:t>
            </w:r>
          </w:p>
          <w:p w14:paraId="37B35118" w14:textId="77777777" w:rsidR="00825411" w:rsidRPr="00493A15" w:rsidRDefault="00825411">
            <w:pPr>
              <w:spacing w:after="0"/>
              <w:rPr>
                <w:sz w:val="18"/>
                <w:szCs w:val="18"/>
                <w:lang w:val="en-US"/>
              </w:rPr>
            </w:pPr>
            <w:r w:rsidRPr="00493A15">
              <w:rPr>
                <w:sz w:val="18"/>
                <w:szCs w:val="18"/>
                <w:lang w:val="en-US"/>
              </w:rPr>
              <w:t>Denomination: EUR 100 per Unit</w:t>
            </w:r>
          </w:p>
          <w:p w14:paraId="47A10C8E" w14:textId="289389C6" w:rsidR="0032060D" w:rsidRPr="00493A15" w:rsidRDefault="00825411">
            <w:pPr>
              <w:spacing w:after="0"/>
              <w:rPr>
                <w:sz w:val="18"/>
                <w:szCs w:val="18"/>
                <w:lang w:val="en-US"/>
              </w:rPr>
            </w:pPr>
            <w:r w:rsidRPr="00493A15">
              <w:rPr>
                <w:sz w:val="18"/>
                <w:szCs w:val="18"/>
                <w:lang w:val="en-US"/>
              </w:rPr>
              <w:t>Maturity: June 12, 2018 (</w:t>
            </w:r>
            <w:r>
              <w:rPr>
                <w:sz w:val="18"/>
                <w:szCs w:val="18"/>
                <w:lang w:val="en-US"/>
              </w:rPr>
              <w:t>e</w:t>
            </w:r>
            <w:r w:rsidRPr="00493A15">
              <w:rPr>
                <w:sz w:val="18"/>
                <w:szCs w:val="18"/>
                <w:lang w:val="en-US"/>
              </w:rPr>
              <w:t>xtend</w:t>
            </w:r>
            <w:r>
              <w:rPr>
                <w:sz w:val="18"/>
                <w:szCs w:val="18"/>
                <w:lang w:val="en-US"/>
              </w:rPr>
              <w:t>ed to June 13, 2028</w:t>
            </w:r>
            <w:r w:rsidRPr="00493A15">
              <w:rPr>
                <w:sz w:val="18"/>
                <w:szCs w:val="18"/>
                <w:lang w:val="en-US"/>
              </w:rPr>
              <w:t>)</w:t>
            </w:r>
          </w:p>
          <w:p w14:paraId="701AB18C" w14:textId="77777777" w:rsidR="00825411" w:rsidRPr="00566A59" w:rsidRDefault="00825411">
            <w:pPr>
              <w:spacing w:after="0"/>
              <w:rPr>
                <w:color w:val="00B050"/>
                <w:sz w:val="18"/>
                <w:szCs w:val="18"/>
                <w:lang w:val="en-US"/>
              </w:rPr>
            </w:pPr>
            <w:r w:rsidRPr="00493A15">
              <w:rPr>
                <w:sz w:val="18"/>
                <w:szCs w:val="18"/>
                <w:lang w:val="en-US"/>
              </w:rPr>
              <w:t>Listing: SIX Swiss Exchange (SIX Structured)</w:t>
            </w:r>
          </w:p>
        </w:tc>
      </w:tr>
    </w:tbl>
    <w:p w14:paraId="1A22082F" w14:textId="76FB3195" w:rsidR="00401BD6" w:rsidRDefault="00401BD6" w:rsidP="008556CB"/>
    <w:sectPr w:rsidR="00401BD6" w:rsidSect="003A192C">
      <w:headerReference w:type="default" r:id="rId12"/>
      <w:footerReference w:type="default" r:id="rId13"/>
      <w:pgSz w:w="11906" w:h="16838" w:code="9"/>
      <w:pgMar w:top="1417" w:right="1274" w:bottom="1417" w:left="1417" w:header="720"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0CEA3" w14:textId="77777777" w:rsidR="00504B86" w:rsidRDefault="00504B86">
      <w:pPr>
        <w:spacing w:after="0" w:line="240" w:lineRule="auto"/>
      </w:pPr>
      <w:r>
        <w:separator/>
      </w:r>
    </w:p>
  </w:endnote>
  <w:endnote w:type="continuationSeparator" w:id="0">
    <w:p w14:paraId="21B274A0" w14:textId="77777777" w:rsidR="00504B86" w:rsidRDefault="00504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98906" w14:textId="77777777" w:rsidR="002F0246" w:rsidRPr="001A02FB" w:rsidRDefault="002F0246" w:rsidP="003A192C">
    <w:pPr>
      <w:spacing w:after="0"/>
      <w:jc w:val="both"/>
      <w:rPr>
        <w:b/>
        <w:bCs/>
        <w:sz w:val="10"/>
        <w:szCs w:val="10"/>
        <w:lang w:val="en-GB"/>
      </w:rPr>
    </w:pPr>
    <w:bookmarkStart w:id="1" w:name="_Hlk198802118"/>
    <w:bookmarkStart w:id="2" w:name="_Hlk198802107"/>
    <w:bookmarkStart w:id="3" w:name="_Hlk198802478"/>
    <w:bookmarkStart w:id="4" w:name="_Hlk198802479"/>
    <w:bookmarkStart w:id="5" w:name="_Hlk198804221"/>
    <w:bookmarkStart w:id="6" w:name="_Hlk198804222"/>
    <w:r w:rsidRPr="001A02FB">
      <w:rPr>
        <w:b/>
        <w:bCs/>
        <w:sz w:val="10"/>
        <w:szCs w:val="10"/>
        <w:lang w:val="en-GB"/>
      </w:rPr>
      <w:t>Disclaimer:</w:t>
    </w:r>
  </w:p>
  <w:bookmarkEnd w:id="1"/>
  <w:p w14:paraId="703A9474" w14:textId="77777777" w:rsidR="002F0246" w:rsidRPr="001A02FB" w:rsidRDefault="002F0246" w:rsidP="003A192C">
    <w:pPr>
      <w:spacing w:after="0"/>
      <w:jc w:val="both"/>
      <w:rPr>
        <w:sz w:val="10"/>
        <w:szCs w:val="10"/>
        <w:lang w:val="en-GB"/>
      </w:rPr>
    </w:pPr>
    <w:r w:rsidRPr="001A02FB">
      <w:rPr>
        <w:sz w:val="10"/>
        <w:szCs w:val="10"/>
        <w:lang w:val="en-GB"/>
      </w:rPr>
      <w:t xml:space="preserve">This document constitutes advertising within the meaning of article 68 of the </w:t>
    </w:r>
    <w:proofErr w:type="spellStart"/>
    <w:r w:rsidRPr="001A02FB">
      <w:rPr>
        <w:sz w:val="10"/>
        <w:szCs w:val="10"/>
        <w:lang w:val="en-GB"/>
      </w:rPr>
      <w:t>FinSA</w:t>
    </w:r>
    <w:proofErr w:type="spellEnd"/>
    <w:r w:rsidRPr="001A02FB">
      <w:rPr>
        <w:sz w:val="10"/>
        <w:szCs w:val="10"/>
        <w:lang w:val="en-GB"/>
      </w:rPr>
      <w:t xml:space="preserve"> and is intended for information only and for personal use. This document is intended only for professional respectively qualified investors and not for private investors.  </w:t>
    </w:r>
  </w:p>
  <w:p w14:paraId="125E07DA" w14:textId="77777777" w:rsidR="002F0246" w:rsidRPr="001A02FB" w:rsidRDefault="002F0246" w:rsidP="003A192C">
    <w:pPr>
      <w:spacing w:after="0"/>
      <w:jc w:val="both"/>
      <w:rPr>
        <w:sz w:val="10"/>
        <w:szCs w:val="10"/>
        <w:lang w:val="en-GB"/>
      </w:rPr>
    </w:pPr>
    <w:r w:rsidRPr="001A02FB">
      <w:rPr>
        <w:sz w:val="10"/>
        <w:szCs w:val="10"/>
        <w:lang w:val="en-GB"/>
      </w:rPr>
      <w:t> </w:t>
    </w:r>
    <w:r w:rsidRPr="001A02FB">
      <w:rPr>
        <w:b/>
        <w:bCs/>
        <w:sz w:val="10"/>
        <w:szCs w:val="10"/>
        <w:lang w:val="en-GB"/>
      </w:rPr>
      <w:t>Structured Products</w:t>
    </w:r>
    <w:r w:rsidRPr="001A02FB">
      <w:rPr>
        <w:sz w:val="10"/>
        <w:szCs w:val="10"/>
        <w:lang w:val="en-GB"/>
      </w:rPr>
      <w:t>: The financial products in this document do not qualify as units of a collective investment scheme in the meaning of Article 7 et seqq. of the Swiss Federal Act on Collective Investment Schemes (CISA) and are therefore neither supervised by the Swiss Financial Market Supervisory Authority (FINMA) nor registered with FINMA. Investors do not benefit from the specific investor protection provided under CISA. </w:t>
    </w:r>
  </w:p>
  <w:p w14:paraId="3C5FE447" w14:textId="77777777" w:rsidR="002F0246" w:rsidRPr="001A02FB" w:rsidRDefault="002F0246" w:rsidP="003A192C">
    <w:pPr>
      <w:jc w:val="both"/>
      <w:rPr>
        <w:sz w:val="10"/>
        <w:szCs w:val="10"/>
        <w:lang w:val="en-GB"/>
      </w:rPr>
    </w:pPr>
    <w:r w:rsidRPr="001A02FB">
      <w:rPr>
        <w:sz w:val="10"/>
        <w:szCs w:val="10"/>
        <w:lang w:val="en-GB"/>
      </w:rPr>
      <w:t xml:space="preserve">No action has been or will be taken to permit a public offering of the financial products or possession or distribution of any offering material in relation to the financial products in any jurisdiction, where such action for that purpose is required. The most important jurisdictions where the financial products may not be publicly distributed are EEA, UK, Hong Kong and Singapore. The financial products may not be offered or sold within the USA, or to or for the account or benefit of US persons (as defined in Regulation S). It does not constitute a public offering, an offer to sell or a solicitation to buy any financial instruments and it is not research. It is not intended to form investment, legal or tax advice and should not be used as the basis for investment decisions. Before making an investment decision, you should obtain professional advice. Past performance is no indicator or guarantee of the future performance of a financial instrument. Individual services and products are subject to legal restrictions in certain countries. They may therefore not be offered throughout the world without restriction. All information is made without warranty to its currency, accuracy, or completeness. Aspermont Capital AG reserves the right to alter its services, products or prices at any time without prior notice. Aspermont Capital AG rejects </w:t>
    </w:r>
    <w:proofErr w:type="gramStart"/>
    <w:r w:rsidRPr="001A02FB">
      <w:rPr>
        <w:sz w:val="10"/>
        <w:szCs w:val="10"/>
        <w:lang w:val="en-GB"/>
      </w:rPr>
      <w:t>any and all</w:t>
    </w:r>
    <w:proofErr w:type="gramEnd"/>
    <w:r w:rsidRPr="001A02FB">
      <w:rPr>
        <w:sz w:val="10"/>
        <w:szCs w:val="10"/>
        <w:lang w:val="en-GB"/>
      </w:rPr>
      <w:t xml:space="preserve"> liability for incorrect or incomplete information. No responsibility is assumed in case of unsolicited delivery. Complete or partial reproduction without the express consent of Aspermont Capital AG is not permitted. </w:t>
    </w:r>
  </w:p>
  <w:bookmarkEnd w:id="2"/>
  <w:p w14:paraId="45C54678" w14:textId="000EE7BA" w:rsidR="002F0246" w:rsidRDefault="002F0246" w:rsidP="003A192C">
    <w:pPr>
      <w:pStyle w:val="Footer"/>
      <w:jc w:val="both"/>
      <w:rPr>
        <w:sz w:val="10"/>
        <w:szCs w:val="10"/>
        <w:lang w:val="en-GB"/>
      </w:rPr>
    </w:pPr>
    <w:r w:rsidRPr="001A02FB">
      <w:rPr>
        <w:sz w:val="10"/>
        <w:szCs w:val="10"/>
        <w:lang w:val="en-GB"/>
      </w:rPr>
      <w:t xml:space="preserve">The relevant product documentation of the financial products can be obtained directly at Aspermont Capital AG, </w:t>
    </w:r>
    <w:proofErr w:type="spellStart"/>
    <w:r w:rsidRPr="001A02FB">
      <w:rPr>
        <w:sz w:val="10"/>
        <w:szCs w:val="10"/>
        <w:lang w:val="en-GB"/>
      </w:rPr>
      <w:t>Loewenstrasse</w:t>
    </w:r>
    <w:proofErr w:type="spellEnd"/>
    <w:r w:rsidRPr="001A02FB">
      <w:rPr>
        <w:sz w:val="10"/>
        <w:szCs w:val="10"/>
        <w:lang w:val="en-GB"/>
      </w:rPr>
      <w:t xml:space="preserve"> 66, CH-8001 Zurich, via telephone +41 43 888 66 44 or via email </w:t>
    </w:r>
    <w:hyperlink r:id="rId1" w:history="1">
      <w:r w:rsidRPr="001A02FB">
        <w:rPr>
          <w:rStyle w:val="Hyperlink"/>
          <w:sz w:val="10"/>
          <w:szCs w:val="10"/>
          <w:lang w:val="en-GB"/>
        </w:rPr>
        <w:t>info@ascap.ch</w:t>
      </w:r>
    </w:hyperlink>
    <w:r w:rsidRPr="001A02FB">
      <w:rPr>
        <w:sz w:val="10"/>
        <w:szCs w:val="10"/>
        <w:lang w:val="en-GB"/>
      </w:rPr>
      <w:t xml:space="preserve"> .  </w:t>
    </w:r>
  </w:p>
  <w:p w14:paraId="3C2D38CB" w14:textId="77777777" w:rsidR="002F0246" w:rsidRDefault="002F0246" w:rsidP="002F0246">
    <w:pPr>
      <w:pStyle w:val="Footer"/>
    </w:pPr>
    <w:r w:rsidRPr="001A02FB">
      <w:rPr>
        <w:sz w:val="10"/>
        <w:szCs w:val="10"/>
        <w:lang w:val="en-GB"/>
      </w:rPr>
      <w:t>© Aspermont Capital AG 202</w:t>
    </w:r>
    <w:r>
      <w:rPr>
        <w:sz w:val="10"/>
        <w:szCs w:val="10"/>
        <w:lang w:val="en-GB"/>
      </w:rPr>
      <w:t>5</w:t>
    </w:r>
    <w:r w:rsidRPr="001A02FB">
      <w:rPr>
        <w:sz w:val="10"/>
        <w:szCs w:val="10"/>
        <w:lang w:val="en-GB"/>
      </w:rPr>
      <w:t>. All rights reserved.</w:t>
    </w:r>
    <w:r w:rsidRPr="001A02FB">
      <w:rPr>
        <w:sz w:val="8"/>
        <w:szCs w:val="8"/>
        <w:lang w:val="en-GB"/>
      </w:rPr>
      <w:t> </w:t>
    </w:r>
    <w:bookmarkEnd w:id="3"/>
    <w:bookmarkEnd w:id="4"/>
    <w:bookmarkEnd w:id="5"/>
    <w:bookmarkEnd w:id="6"/>
  </w:p>
  <w:p w14:paraId="04BE1369" w14:textId="77777777" w:rsidR="00825411" w:rsidRPr="002F0246" w:rsidRDefault="00825411" w:rsidP="002F02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1C581" w14:textId="77777777" w:rsidR="00504B86" w:rsidRDefault="00504B86">
      <w:pPr>
        <w:spacing w:after="0" w:line="240" w:lineRule="auto"/>
      </w:pPr>
      <w:r>
        <w:separator/>
      </w:r>
    </w:p>
  </w:footnote>
  <w:footnote w:type="continuationSeparator" w:id="0">
    <w:p w14:paraId="629A9CD2" w14:textId="77777777" w:rsidR="00504B86" w:rsidRDefault="00504B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7D9F" w14:textId="77777777" w:rsidR="00825411" w:rsidRDefault="00825411">
    <w:pPr>
      <w:pStyle w:val="Header"/>
      <w:jc w:val="right"/>
    </w:pPr>
    <w:r w:rsidRPr="00437B29">
      <w:rPr>
        <w:noProof/>
        <w:lang w:val="de-CH" w:eastAsia="de-CH"/>
      </w:rPr>
      <w:drawing>
        <wp:inline distT="0" distB="0" distL="0" distR="0" wp14:anchorId="686D5577" wp14:editId="45749EE8">
          <wp:extent cx="1314450" cy="209550"/>
          <wp:effectExtent l="19050" t="0" r="0" b="0"/>
          <wp:docPr id="1300811753" name="Picture 1" descr="Aspermont-FinServ_RGB_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permont-FinServ_RGB_L"/>
                  <pic:cNvPicPr>
                    <a:picLocks noChangeAspect="1" noChangeArrowheads="1"/>
                  </pic:cNvPicPr>
                </pic:nvPicPr>
                <pic:blipFill>
                  <a:blip r:embed="rId1"/>
                  <a:srcRect/>
                  <a:stretch>
                    <a:fillRect/>
                  </a:stretch>
                </pic:blipFill>
                <pic:spPr bwMode="auto">
                  <a:xfrm>
                    <a:off x="0" y="0"/>
                    <a:ext cx="1314450" cy="209550"/>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411"/>
    <w:rsid w:val="0001235A"/>
    <w:rsid w:val="0001270F"/>
    <w:rsid w:val="00014017"/>
    <w:rsid w:val="000236D4"/>
    <w:rsid w:val="0003046D"/>
    <w:rsid w:val="00037037"/>
    <w:rsid w:val="000406D0"/>
    <w:rsid w:val="00056509"/>
    <w:rsid w:val="00063119"/>
    <w:rsid w:val="00064C2C"/>
    <w:rsid w:val="000651B4"/>
    <w:rsid w:val="00072C37"/>
    <w:rsid w:val="00073017"/>
    <w:rsid w:val="0007669A"/>
    <w:rsid w:val="000819CB"/>
    <w:rsid w:val="00082B48"/>
    <w:rsid w:val="000917C4"/>
    <w:rsid w:val="000A6B18"/>
    <w:rsid w:val="000B7B09"/>
    <w:rsid w:val="000E032B"/>
    <w:rsid w:val="000E0676"/>
    <w:rsid w:val="001026FF"/>
    <w:rsid w:val="001142C3"/>
    <w:rsid w:val="00117A9C"/>
    <w:rsid w:val="00135FAF"/>
    <w:rsid w:val="00143FC7"/>
    <w:rsid w:val="00145166"/>
    <w:rsid w:val="00151F42"/>
    <w:rsid w:val="001572CF"/>
    <w:rsid w:val="001606E1"/>
    <w:rsid w:val="001616E3"/>
    <w:rsid w:val="00161A5A"/>
    <w:rsid w:val="001777FA"/>
    <w:rsid w:val="00182A34"/>
    <w:rsid w:val="00186358"/>
    <w:rsid w:val="00192262"/>
    <w:rsid w:val="001A304B"/>
    <w:rsid w:val="001B35C0"/>
    <w:rsid w:val="001C4752"/>
    <w:rsid w:val="001D5CC3"/>
    <w:rsid w:val="001D7939"/>
    <w:rsid w:val="001E1EC7"/>
    <w:rsid w:val="001E6222"/>
    <w:rsid w:val="001F5A0A"/>
    <w:rsid w:val="00201F19"/>
    <w:rsid w:val="00210B89"/>
    <w:rsid w:val="00210FA3"/>
    <w:rsid w:val="002151A2"/>
    <w:rsid w:val="00223AC0"/>
    <w:rsid w:val="0022613C"/>
    <w:rsid w:val="00226773"/>
    <w:rsid w:val="0023039A"/>
    <w:rsid w:val="002338C0"/>
    <w:rsid w:val="00237938"/>
    <w:rsid w:val="0025055B"/>
    <w:rsid w:val="0025648B"/>
    <w:rsid w:val="002633E8"/>
    <w:rsid w:val="00265E7B"/>
    <w:rsid w:val="0026708B"/>
    <w:rsid w:val="0027471E"/>
    <w:rsid w:val="00277676"/>
    <w:rsid w:val="002826F3"/>
    <w:rsid w:val="00294E69"/>
    <w:rsid w:val="002957A4"/>
    <w:rsid w:val="00295B8A"/>
    <w:rsid w:val="002B21F4"/>
    <w:rsid w:val="002B6ECC"/>
    <w:rsid w:val="002C704C"/>
    <w:rsid w:val="002C7468"/>
    <w:rsid w:val="002D3B5D"/>
    <w:rsid w:val="002D5ECE"/>
    <w:rsid w:val="002E787C"/>
    <w:rsid w:val="002F0246"/>
    <w:rsid w:val="002F035F"/>
    <w:rsid w:val="003001E1"/>
    <w:rsid w:val="00303CC4"/>
    <w:rsid w:val="00306F42"/>
    <w:rsid w:val="0031111E"/>
    <w:rsid w:val="00313C04"/>
    <w:rsid w:val="0032060D"/>
    <w:rsid w:val="00335E17"/>
    <w:rsid w:val="00341611"/>
    <w:rsid w:val="003507B4"/>
    <w:rsid w:val="00360D4B"/>
    <w:rsid w:val="00361A97"/>
    <w:rsid w:val="00364ECF"/>
    <w:rsid w:val="00365E7C"/>
    <w:rsid w:val="003806E2"/>
    <w:rsid w:val="00386536"/>
    <w:rsid w:val="003908E6"/>
    <w:rsid w:val="00390A40"/>
    <w:rsid w:val="00394C4C"/>
    <w:rsid w:val="00396E15"/>
    <w:rsid w:val="003A192C"/>
    <w:rsid w:val="003A3A5A"/>
    <w:rsid w:val="003A4BC5"/>
    <w:rsid w:val="003A7ED1"/>
    <w:rsid w:val="003B297B"/>
    <w:rsid w:val="003D16EC"/>
    <w:rsid w:val="003D1AF6"/>
    <w:rsid w:val="003D3B97"/>
    <w:rsid w:val="003D7DFE"/>
    <w:rsid w:val="003F042F"/>
    <w:rsid w:val="00400365"/>
    <w:rsid w:val="00401BD6"/>
    <w:rsid w:val="004126D7"/>
    <w:rsid w:val="004161E0"/>
    <w:rsid w:val="004254CF"/>
    <w:rsid w:val="00426309"/>
    <w:rsid w:val="004319FB"/>
    <w:rsid w:val="00440303"/>
    <w:rsid w:val="00441265"/>
    <w:rsid w:val="00445A3D"/>
    <w:rsid w:val="004567BB"/>
    <w:rsid w:val="00460739"/>
    <w:rsid w:val="00460E9C"/>
    <w:rsid w:val="00466330"/>
    <w:rsid w:val="0047296C"/>
    <w:rsid w:val="00476941"/>
    <w:rsid w:val="00480FA7"/>
    <w:rsid w:val="004921F6"/>
    <w:rsid w:val="004958F0"/>
    <w:rsid w:val="004A4816"/>
    <w:rsid w:val="004D2C5A"/>
    <w:rsid w:val="004D61A6"/>
    <w:rsid w:val="004D67E9"/>
    <w:rsid w:val="004E1943"/>
    <w:rsid w:val="004E5A2D"/>
    <w:rsid w:val="00504B86"/>
    <w:rsid w:val="00505961"/>
    <w:rsid w:val="00505BE4"/>
    <w:rsid w:val="00515C38"/>
    <w:rsid w:val="00522424"/>
    <w:rsid w:val="00523AE9"/>
    <w:rsid w:val="00524585"/>
    <w:rsid w:val="00524B9A"/>
    <w:rsid w:val="005323D7"/>
    <w:rsid w:val="00544C10"/>
    <w:rsid w:val="0056451E"/>
    <w:rsid w:val="005715AE"/>
    <w:rsid w:val="00571A0E"/>
    <w:rsid w:val="00575966"/>
    <w:rsid w:val="00584A28"/>
    <w:rsid w:val="005864AA"/>
    <w:rsid w:val="005905B4"/>
    <w:rsid w:val="005946D8"/>
    <w:rsid w:val="00597C9F"/>
    <w:rsid w:val="005A3D27"/>
    <w:rsid w:val="005B0F2F"/>
    <w:rsid w:val="005B1D68"/>
    <w:rsid w:val="005B5B1F"/>
    <w:rsid w:val="005C0B50"/>
    <w:rsid w:val="005C4160"/>
    <w:rsid w:val="005C4A26"/>
    <w:rsid w:val="005D6039"/>
    <w:rsid w:val="00601B20"/>
    <w:rsid w:val="006021A7"/>
    <w:rsid w:val="00610C26"/>
    <w:rsid w:val="00612EED"/>
    <w:rsid w:val="00613B67"/>
    <w:rsid w:val="00615FB4"/>
    <w:rsid w:val="006345B4"/>
    <w:rsid w:val="0063495D"/>
    <w:rsid w:val="00637297"/>
    <w:rsid w:val="006425AA"/>
    <w:rsid w:val="00643D07"/>
    <w:rsid w:val="006446C3"/>
    <w:rsid w:val="00647E72"/>
    <w:rsid w:val="00674BEF"/>
    <w:rsid w:val="0068089E"/>
    <w:rsid w:val="006857CD"/>
    <w:rsid w:val="00685CAA"/>
    <w:rsid w:val="006936C3"/>
    <w:rsid w:val="00693B87"/>
    <w:rsid w:val="006A02BB"/>
    <w:rsid w:val="006A12AA"/>
    <w:rsid w:val="006A2D10"/>
    <w:rsid w:val="006A2FDA"/>
    <w:rsid w:val="006A3293"/>
    <w:rsid w:val="006A58AF"/>
    <w:rsid w:val="006A7B1D"/>
    <w:rsid w:val="006B0CDC"/>
    <w:rsid w:val="006B4BC4"/>
    <w:rsid w:val="006B7D2C"/>
    <w:rsid w:val="006B7F5C"/>
    <w:rsid w:val="006D13B5"/>
    <w:rsid w:val="006D3DFA"/>
    <w:rsid w:val="006E41DC"/>
    <w:rsid w:val="006E4979"/>
    <w:rsid w:val="006E4E13"/>
    <w:rsid w:val="006E501C"/>
    <w:rsid w:val="006E7766"/>
    <w:rsid w:val="006F14EB"/>
    <w:rsid w:val="006F2FDD"/>
    <w:rsid w:val="00701829"/>
    <w:rsid w:val="00702F72"/>
    <w:rsid w:val="00704DBD"/>
    <w:rsid w:val="00711A58"/>
    <w:rsid w:val="0072171E"/>
    <w:rsid w:val="007264CB"/>
    <w:rsid w:val="00726B3B"/>
    <w:rsid w:val="0073323C"/>
    <w:rsid w:val="00735F36"/>
    <w:rsid w:val="0074051C"/>
    <w:rsid w:val="00743CA5"/>
    <w:rsid w:val="00744B50"/>
    <w:rsid w:val="00744CFF"/>
    <w:rsid w:val="00745C42"/>
    <w:rsid w:val="00754404"/>
    <w:rsid w:val="0075469D"/>
    <w:rsid w:val="00762009"/>
    <w:rsid w:val="0076259D"/>
    <w:rsid w:val="007647CE"/>
    <w:rsid w:val="00781629"/>
    <w:rsid w:val="00784059"/>
    <w:rsid w:val="0078667B"/>
    <w:rsid w:val="00786EC3"/>
    <w:rsid w:val="00797C08"/>
    <w:rsid w:val="007A4634"/>
    <w:rsid w:val="007A7BC9"/>
    <w:rsid w:val="007B287B"/>
    <w:rsid w:val="007C44D7"/>
    <w:rsid w:val="007C7FA4"/>
    <w:rsid w:val="007D362F"/>
    <w:rsid w:val="007D5BE5"/>
    <w:rsid w:val="007D5DDA"/>
    <w:rsid w:val="007E6153"/>
    <w:rsid w:val="00814793"/>
    <w:rsid w:val="00821A7B"/>
    <w:rsid w:val="00822473"/>
    <w:rsid w:val="00825411"/>
    <w:rsid w:val="008267A9"/>
    <w:rsid w:val="00831189"/>
    <w:rsid w:val="00834283"/>
    <w:rsid w:val="008426BA"/>
    <w:rsid w:val="00847F17"/>
    <w:rsid w:val="008514A0"/>
    <w:rsid w:val="008520DA"/>
    <w:rsid w:val="0085251A"/>
    <w:rsid w:val="008545F1"/>
    <w:rsid w:val="008556CB"/>
    <w:rsid w:val="00857DFD"/>
    <w:rsid w:val="00860B74"/>
    <w:rsid w:val="00880679"/>
    <w:rsid w:val="0088079B"/>
    <w:rsid w:val="00885948"/>
    <w:rsid w:val="008A11D9"/>
    <w:rsid w:val="008A5AFE"/>
    <w:rsid w:val="008A6D84"/>
    <w:rsid w:val="008B1DBC"/>
    <w:rsid w:val="008B5AF8"/>
    <w:rsid w:val="008B7F94"/>
    <w:rsid w:val="008C440A"/>
    <w:rsid w:val="008E102D"/>
    <w:rsid w:val="008E3A4B"/>
    <w:rsid w:val="008E5CB9"/>
    <w:rsid w:val="008E6AD0"/>
    <w:rsid w:val="00900534"/>
    <w:rsid w:val="0090389D"/>
    <w:rsid w:val="00905847"/>
    <w:rsid w:val="00915C8A"/>
    <w:rsid w:val="009174AB"/>
    <w:rsid w:val="009174F9"/>
    <w:rsid w:val="00924920"/>
    <w:rsid w:val="00925D5E"/>
    <w:rsid w:val="0092622C"/>
    <w:rsid w:val="00927A2F"/>
    <w:rsid w:val="009347F6"/>
    <w:rsid w:val="00934B67"/>
    <w:rsid w:val="009363EE"/>
    <w:rsid w:val="00936DB2"/>
    <w:rsid w:val="00940559"/>
    <w:rsid w:val="0094086E"/>
    <w:rsid w:val="0094228A"/>
    <w:rsid w:val="00944659"/>
    <w:rsid w:val="00944B4C"/>
    <w:rsid w:val="00945C84"/>
    <w:rsid w:val="0095277D"/>
    <w:rsid w:val="00960ECD"/>
    <w:rsid w:val="00963FC9"/>
    <w:rsid w:val="00981FE5"/>
    <w:rsid w:val="00982FBE"/>
    <w:rsid w:val="00983F56"/>
    <w:rsid w:val="00984E54"/>
    <w:rsid w:val="00986295"/>
    <w:rsid w:val="00990D06"/>
    <w:rsid w:val="00996E5B"/>
    <w:rsid w:val="009A0CDF"/>
    <w:rsid w:val="009B5324"/>
    <w:rsid w:val="009B58C7"/>
    <w:rsid w:val="009B6F30"/>
    <w:rsid w:val="009C0431"/>
    <w:rsid w:val="009C389C"/>
    <w:rsid w:val="009C7578"/>
    <w:rsid w:val="009D2F79"/>
    <w:rsid w:val="009D6495"/>
    <w:rsid w:val="00A069DD"/>
    <w:rsid w:val="00A07C36"/>
    <w:rsid w:val="00A111AD"/>
    <w:rsid w:val="00A119DB"/>
    <w:rsid w:val="00A14D0B"/>
    <w:rsid w:val="00A1653A"/>
    <w:rsid w:val="00A178BE"/>
    <w:rsid w:val="00A2019A"/>
    <w:rsid w:val="00A223E3"/>
    <w:rsid w:val="00A2415B"/>
    <w:rsid w:val="00A251D2"/>
    <w:rsid w:val="00A51F25"/>
    <w:rsid w:val="00A61BDD"/>
    <w:rsid w:val="00A648C9"/>
    <w:rsid w:val="00A6577A"/>
    <w:rsid w:val="00A75B3E"/>
    <w:rsid w:val="00A87280"/>
    <w:rsid w:val="00A91ABD"/>
    <w:rsid w:val="00A933BE"/>
    <w:rsid w:val="00A96923"/>
    <w:rsid w:val="00AA2B1C"/>
    <w:rsid w:val="00AA474E"/>
    <w:rsid w:val="00AA6D36"/>
    <w:rsid w:val="00AB7BD7"/>
    <w:rsid w:val="00AD2C8D"/>
    <w:rsid w:val="00AD3B07"/>
    <w:rsid w:val="00AD3D14"/>
    <w:rsid w:val="00AE6A3C"/>
    <w:rsid w:val="00B13B2A"/>
    <w:rsid w:val="00B231E7"/>
    <w:rsid w:val="00B23372"/>
    <w:rsid w:val="00B2588C"/>
    <w:rsid w:val="00B26D20"/>
    <w:rsid w:val="00B303EC"/>
    <w:rsid w:val="00B3116A"/>
    <w:rsid w:val="00B36145"/>
    <w:rsid w:val="00B3688C"/>
    <w:rsid w:val="00B41D61"/>
    <w:rsid w:val="00B531A5"/>
    <w:rsid w:val="00B57241"/>
    <w:rsid w:val="00B62C25"/>
    <w:rsid w:val="00B72E48"/>
    <w:rsid w:val="00B73183"/>
    <w:rsid w:val="00B7478F"/>
    <w:rsid w:val="00B748E7"/>
    <w:rsid w:val="00B765AB"/>
    <w:rsid w:val="00B82C55"/>
    <w:rsid w:val="00BA298E"/>
    <w:rsid w:val="00BA3728"/>
    <w:rsid w:val="00BA4EA1"/>
    <w:rsid w:val="00BB094A"/>
    <w:rsid w:val="00BC4382"/>
    <w:rsid w:val="00BD504E"/>
    <w:rsid w:val="00BE4445"/>
    <w:rsid w:val="00BF0D32"/>
    <w:rsid w:val="00BF1968"/>
    <w:rsid w:val="00BF25AA"/>
    <w:rsid w:val="00BF2FBD"/>
    <w:rsid w:val="00C005DE"/>
    <w:rsid w:val="00C02582"/>
    <w:rsid w:val="00C04C96"/>
    <w:rsid w:val="00C12270"/>
    <w:rsid w:val="00C23801"/>
    <w:rsid w:val="00C2775A"/>
    <w:rsid w:val="00C3341B"/>
    <w:rsid w:val="00C33AB8"/>
    <w:rsid w:val="00C3490B"/>
    <w:rsid w:val="00C36AE2"/>
    <w:rsid w:val="00C37493"/>
    <w:rsid w:val="00C4239C"/>
    <w:rsid w:val="00C45C16"/>
    <w:rsid w:val="00C4745C"/>
    <w:rsid w:val="00C54D9D"/>
    <w:rsid w:val="00C573CE"/>
    <w:rsid w:val="00C60611"/>
    <w:rsid w:val="00C6465B"/>
    <w:rsid w:val="00C66394"/>
    <w:rsid w:val="00C730EB"/>
    <w:rsid w:val="00C851A1"/>
    <w:rsid w:val="00C86469"/>
    <w:rsid w:val="00C87C01"/>
    <w:rsid w:val="00C93970"/>
    <w:rsid w:val="00CA4B1C"/>
    <w:rsid w:val="00CA6841"/>
    <w:rsid w:val="00CA7CB0"/>
    <w:rsid w:val="00CB38E5"/>
    <w:rsid w:val="00CC15B0"/>
    <w:rsid w:val="00CC785F"/>
    <w:rsid w:val="00CF29BA"/>
    <w:rsid w:val="00CF315B"/>
    <w:rsid w:val="00CF3D80"/>
    <w:rsid w:val="00CF4AD7"/>
    <w:rsid w:val="00CF7605"/>
    <w:rsid w:val="00D00F59"/>
    <w:rsid w:val="00D10A98"/>
    <w:rsid w:val="00D17087"/>
    <w:rsid w:val="00D220A0"/>
    <w:rsid w:val="00D27F80"/>
    <w:rsid w:val="00D33630"/>
    <w:rsid w:val="00D37953"/>
    <w:rsid w:val="00D41963"/>
    <w:rsid w:val="00D47FBE"/>
    <w:rsid w:val="00D71BF5"/>
    <w:rsid w:val="00D75D6E"/>
    <w:rsid w:val="00D81135"/>
    <w:rsid w:val="00D95274"/>
    <w:rsid w:val="00DA11BB"/>
    <w:rsid w:val="00DA188E"/>
    <w:rsid w:val="00DA632B"/>
    <w:rsid w:val="00DB071D"/>
    <w:rsid w:val="00DB0D65"/>
    <w:rsid w:val="00DC3B5C"/>
    <w:rsid w:val="00DC5CF9"/>
    <w:rsid w:val="00DD0B50"/>
    <w:rsid w:val="00DD1165"/>
    <w:rsid w:val="00DD1E81"/>
    <w:rsid w:val="00DE050B"/>
    <w:rsid w:val="00DE5211"/>
    <w:rsid w:val="00DF7DD7"/>
    <w:rsid w:val="00E047A5"/>
    <w:rsid w:val="00E06C99"/>
    <w:rsid w:val="00E12761"/>
    <w:rsid w:val="00E162C2"/>
    <w:rsid w:val="00E218BB"/>
    <w:rsid w:val="00E22C5B"/>
    <w:rsid w:val="00E2411D"/>
    <w:rsid w:val="00E3036B"/>
    <w:rsid w:val="00E319EC"/>
    <w:rsid w:val="00E337E2"/>
    <w:rsid w:val="00E354F2"/>
    <w:rsid w:val="00E359B4"/>
    <w:rsid w:val="00E36B3E"/>
    <w:rsid w:val="00E44CA8"/>
    <w:rsid w:val="00E511AB"/>
    <w:rsid w:val="00E574A1"/>
    <w:rsid w:val="00E71D50"/>
    <w:rsid w:val="00E769A2"/>
    <w:rsid w:val="00E85880"/>
    <w:rsid w:val="00E859DA"/>
    <w:rsid w:val="00E87B36"/>
    <w:rsid w:val="00E91F08"/>
    <w:rsid w:val="00E947F0"/>
    <w:rsid w:val="00E94D16"/>
    <w:rsid w:val="00E97D50"/>
    <w:rsid w:val="00EA47D3"/>
    <w:rsid w:val="00EA488F"/>
    <w:rsid w:val="00EA68D8"/>
    <w:rsid w:val="00EB2A04"/>
    <w:rsid w:val="00EC1F34"/>
    <w:rsid w:val="00ED0ACB"/>
    <w:rsid w:val="00ED6C2B"/>
    <w:rsid w:val="00EE4321"/>
    <w:rsid w:val="00EF027B"/>
    <w:rsid w:val="00EF7EB3"/>
    <w:rsid w:val="00F03760"/>
    <w:rsid w:val="00F064AC"/>
    <w:rsid w:val="00F1062A"/>
    <w:rsid w:val="00F10909"/>
    <w:rsid w:val="00F13114"/>
    <w:rsid w:val="00F13AC3"/>
    <w:rsid w:val="00F23460"/>
    <w:rsid w:val="00F30FCB"/>
    <w:rsid w:val="00F3381C"/>
    <w:rsid w:val="00F372C7"/>
    <w:rsid w:val="00F37B55"/>
    <w:rsid w:val="00F413DD"/>
    <w:rsid w:val="00F45BB7"/>
    <w:rsid w:val="00F529EE"/>
    <w:rsid w:val="00F52BF2"/>
    <w:rsid w:val="00F5400B"/>
    <w:rsid w:val="00F55104"/>
    <w:rsid w:val="00F6013C"/>
    <w:rsid w:val="00F62652"/>
    <w:rsid w:val="00F645CB"/>
    <w:rsid w:val="00F84012"/>
    <w:rsid w:val="00F905AD"/>
    <w:rsid w:val="00F9063E"/>
    <w:rsid w:val="00FA12AA"/>
    <w:rsid w:val="00FA316A"/>
    <w:rsid w:val="00FA66F5"/>
    <w:rsid w:val="00FA75B1"/>
    <w:rsid w:val="00FC2E48"/>
    <w:rsid w:val="00FC6E0C"/>
    <w:rsid w:val="00FD4D7B"/>
    <w:rsid w:val="00FE374D"/>
    <w:rsid w:val="00FF0411"/>
    <w:rsid w:val="00FF1F4A"/>
    <w:rsid w:val="00FF2F3A"/>
    <w:rsid w:val="00FF4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C5A31"/>
  <w15:chartTrackingRefBased/>
  <w15:docId w15:val="{B6C175F6-EEFC-4A68-B78A-F8C8C6FD8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411"/>
    <w:pPr>
      <w:spacing w:after="200" w:line="276" w:lineRule="auto"/>
    </w:pPr>
    <w:rPr>
      <w:rFonts w:eastAsiaTheme="minorEastAsia"/>
      <w:kern w:val="0"/>
      <w:lang w:val="en-CA" w:eastAsia="en-CA"/>
      <w14:ligatures w14:val="none"/>
    </w:rPr>
  </w:style>
  <w:style w:type="paragraph" w:styleId="Heading1">
    <w:name w:val="heading 1"/>
    <w:basedOn w:val="Normal"/>
    <w:next w:val="Normal"/>
    <w:link w:val="Heading1Char"/>
    <w:uiPriority w:val="9"/>
    <w:qFormat/>
    <w:rsid w:val="0082541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5411"/>
    <w:rPr>
      <w:rFonts w:asciiTheme="majorHAnsi" w:eastAsiaTheme="majorEastAsia" w:hAnsiTheme="majorHAnsi" w:cstheme="majorBidi"/>
      <w:b/>
      <w:bCs/>
      <w:color w:val="2F5496" w:themeColor="accent1" w:themeShade="BF"/>
      <w:kern w:val="0"/>
      <w:sz w:val="28"/>
      <w:szCs w:val="28"/>
      <w:lang w:val="en-CA" w:eastAsia="en-CA"/>
      <w14:ligatures w14:val="none"/>
    </w:rPr>
  </w:style>
  <w:style w:type="table" w:styleId="TableGrid">
    <w:name w:val="Table Grid"/>
    <w:basedOn w:val="TableNormal"/>
    <w:uiPriority w:val="59"/>
    <w:rsid w:val="00825411"/>
    <w:pPr>
      <w:spacing w:after="0" w:line="240" w:lineRule="auto"/>
    </w:pPr>
    <w:rPr>
      <w:rFonts w:eastAsiaTheme="minorEastAsia"/>
      <w:kern w:val="0"/>
      <w:lang w:val="en-CA" w:eastAsia="en-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25411"/>
    <w:pPr>
      <w:tabs>
        <w:tab w:val="center" w:pos="4703"/>
        <w:tab w:val="right" w:pos="9406"/>
      </w:tabs>
      <w:spacing w:after="0" w:line="240" w:lineRule="auto"/>
    </w:pPr>
  </w:style>
  <w:style w:type="character" w:customStyle="1" w:styleId="HeaderChar">
    <w:name w:val="Header Char"/>
    <w:basedOn w:val="DefaultParagraphFont"/>
    <w:link w:val="Header"/>
    <w:uiPriority w:val="99"/>
    <w:rsid w:val="00825411"/>
    <w:rPr>
      <w:rFonts w:eastAsiaTheme="minorEastAsia"/>
      <w:kern w:val="0"/>
      <w:lang w:val="en-CA" w:eastAsia="en-CA"/>
      <w14:ligatures w14:val="none"/>
    </w:rPr>
  </w:style>
  <w:style w:type="paragraph" w:styleId="Footer">
    <w:name w:val="footer"/>
    <w:basedOn w:val="Normal"/>
    <w:link w:val="FooterChar"/>
    <w:uiPriority w:val="99"/>
    <w:unhideWhenUsed/>
    <w:rsid w:val="00825411"/>
    <w:pPr>
      <w:tabs>
        <w:tab w:val="center" w:pos="4703"/>
        <w:tab w:val="right" w:pos="9406"/>
      </w:tabs>
      <w:spacing w:after="0" w:line="240" w:lineRule="auto"/>
    </w:pPr>
  </w:style>
  <w:style w:type="character" w:customStyle="1" w:styleId="FooterChar">
    <w:name w:val="Footer Char"/>
    <w:basedOn w:val="DefaultParagraphFont"/>
    <w:link w:val="Footer"/>
    <w:uiPriority w:val="99"/>
    <w:rsid w:val="00825411"/>
    <w:rPr>
      <w:rFonts w:eastAsiaTheme="minorEastAsia"/>
      <w:kern w:val="0"/>
      <w:lang w:val="en-CA" w:eastAsia="en-CA"/>
      <w14:ligatures w14:val="none"/>
    </w:rPr>
  </w:style>
  <w:style w:type="character" w:styleId="Hyperlink">
    <w:name w:val="Hyperlink"/>
    <w:basedOn w:val="DefaultParagraphFont"/>
    <w:uiPriority w:val="99"/>
    <w:unhideWhenUsed/>
    <w:rsid w:val="00825411"/>
    <w:rPr>
      <w:color w:val="0563C1" w:themeColor="hyperlink"/>
      <w:u w:val="single"/>
    </w:rPr>
  </w:style>
  <w:style w:type="paragraph" w:styleId="NormalWeb">
    <w:name w:val="Normal (Web)"/>
    <w:basedOn w:val="Normal"/>
    <w:uiPriority w:val="99"/>
    <w:semiHidden/>
    <w:unhideWhenUsed/>
    <w:rsid w:val="0072171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nfo@ascap.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69E17-CE6D-4CE1-9858-B523EFC08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750</Words>
  <Characters>4729</Characters>
  <Application>Microsoft Office Word</Application>
  <DocSecurity>0</DocSecurity>
  <Lines>39</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Financial analyst</dc:creator>
  <cp:keywords/>
  <dc:description/>
  <cp:lastModifiedBy>Clifford Binder</cp:lastModifiedBy>
  <cp:revision>10</cp:revision>
  <cp:lastPrinted>2026-09-15T14:26:00Z</cp:lastPrinted>
  <dcterms:created xsi:type="dcterms:W3CDTF">2026-08-11T07:34:00Z</dcterms:created>
  <dcterms:modified xsi:type="dcterms:W3CDTF">2026-09-16T15:59:00Z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5b4b3770f2024bbc7f0032c7cec8a064529e3e17c05e680f8c734955d707d645</vt:lpwstr>
  </property>
</Properties>
</file>