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single" w:sz="4" w:space="0" w:color="C00000"/>
          <w:right w:val="none" w:sz="0" w:space="0" w:color="auto"/>
          <w:insideH w:val="none" w:sz="0" w:space="0" w:color="auto"/>
          <w:insideV w:val="none" w:sz="0" w:space="0" w:color="auto"/>
        </w:tblBorders>
        <w:tblLook w:val="04A0" w:firstRow="1" w:lastRow="0" w:firstColumn="1" w:lastColumn="0" w:noHBand="0" w:noVBand="1"/>
      </w:tblPr>
      <w:tblGrid>
        <w:gridCol w:w="9212"/>
      </w:tblGrid>
      <w:tr w:rsidR="00825411" w:rsidRPr="006047A5" w14:paraId="1E0E1822" w14:textId="77777777">
        <w:tc>
          <w:tcPr>
            <w:tcW w:w="9212" w:type="dxa"/>
          </w:tcPr>
          <w:p w14:paraId="7044E4E5" w14:textId="1C54E2B2" w:rsidR="00825411" w:rsidRPr="00835938" w:rsidRDefault="00825411" w:rsidP="003A7ED1">
            <w:pPr>
              <w:pStyle w:val="Heading1"/>
              <w:spacing w:before="0"/>
              <w:rPr>
                <w:rFonts w:asciiTheme="minorHAnsi" w:hAnsiTheme="minorHAnsi"/>
                <w:color w:val="C00000"/>
                <w:sz w:val="48"/>
                <w:lang w:val="en-US"/>
              </w:rPr>
            </w:pPr>
            <w:r w:rsidRPr="00132966">
              <w:rPr>
                <w:rFonts w:asciiTheme="minorHAnsi" w:hAnsiTheme="minorHAnsi"/>
                <w:color w:val="C00000"/>
                <w:sz w:val="48"/>
                <w:lang w:val="en-US"/>
              </w:rPr>
              <w:t>AMC Aspermont Dividend Stock Basket</w:t>
            </w:r>
          </w:p>
        </w:tc>
      </w:tr>
    </w:tbl>
    <w:p w14:paraId="1DC09C68" w14:textId="27E84789" w:rsidR="00825411" w:rsidRPr="00BE59E1" w:rsidRDefault="00825411" w:rsidP="00825411">
      <w:pPr>
        <w:spacing w:before="120" w:after="120"/>
        <w:jc w:val="center"/>
        <w:rPr>
          <w:rFonts w:ascii="Calibri" w:hAnsi="Calibri" w:cs="Calibri"/>
          <w:b/>
          <w:sz w:val="24"/>
          <w:lang w:val="en-US"/>
        </w:rPr>
      </w:pPr>
      <w:r w:rsidRPr="00BE59E1">
        <w:rPr>
          <w:rFonts w:ascii="Calibri" w:hAnsi="Calibri" w:cs="Calibri"/>
          <w:b/>
          <w:sz w:val="24"/>
          <w:lang w:val="en-US"/>
        </w:rPr>
        <w:t xml:space="preserve">Product update as of </w:t>
      </w:r>
      <w:r w:rsidR="009174F9">
        <w:rPr>
          <w:rFonts w:ascii="Calibri" w:hAnsi="Calibri" w:cs="Calibri"/>
          <w:b/>
          <w:sz w:val="24"/>
          <w:lang w:val="en-US"/>
        </w:rPr>
        <w:t>Ju</w:t>
      </w:r>
      <w:r w:rsidR="00B531A5">
        <w:rPr>
          <w:rFonts w:ascii="Calibri" w:hAnsi="Calibri" w:cs="Calibri"/>
          <w:b/>
          <w:sz w:val="24"/>
          <w:lang w:val="en-US"/>
        </w:rPr>
        <w:t>ly</w:t>
      </w:r>
      <w:r w:rsidR="006A2FDA">
        <w:rPr>
          <w:rFonts w:ascii="Calibri" w:hAnsi="Calibri" w:cs="Calibri"/>
          <w:b/>
          <w:sz w:val="24"/>
          <w:lang w:val="en-US"/>
        </w:rPr>
        <w:t xml:space="preserve"> 3</w:t>
      </w:r>
      <w:r w:rsidR="00B531A5">
        <w:rPr>
          <w:rFonts w:ascii="Calibri" w:hAnsi="Calibri" w:cs="Calibri"/>
          <w:b/>
          <w:sz w:val="24"/>
          <w:lang w:val="en-US"/>
        </w:rPr>
        <w:t>1</w:t>
      </w:r>
      <w:r w:rsidR="00E12761">
        <w:rPr>
          <w:rFonts w:ascii="Calibri" w:hAnsi="Calibri" w:cs="Calibri"/>
          <w:b/>
          <w:sz w:val="24"/>
          <w:lang w:val="en-US"/>
        </w:rPr>
        <w:t>,</w:t>
      </w:r>
      <w:r w:rsidRPr="00BE59E1">
        <w:rPr>
          <w:rFonts w:ascii="Calibri" w:hAnsi="Calibri" w:cs="Calibri"/>
          <w:b/>
          <w:sz w:val="24"/>
          <w:lang w:val="en-US"/>
        </w:rPr>
        <w:t xml:space="preserve"> 202</w:t>
      </w:r>
      <w:r w:rsidR="006D3DFA">
        <w:rPr>
          <w:rFonts w:ascii="Calibri" w:hAnsi="Calibri" w:cs="Calibri"/>
          <w:b/>
          <w:sz w:val="24"/>
          <w:lang w:val="en-US"/>
        </w:rPr>
        <w:t>6</w:t>
      </w:r>
      <w:r w:rsidRPr="00BE59E1">
        <w:rPr>
          <w:rFonts w:ascii="Calibri" w:hAnsi="Calibri" w:cs="Calibri"/>
          <w:b/>
          <w:sz w:val="24"/>
          <w:lang w:val="en-US"/>
        </w:rPr>
        <w:tab/>
      </w:r>
    </w:p>
    <w:p w14:paraId="013D0346" w14:textId="3C0362F0" w:rsidR="00825411" w:rsidRPr="003D1AF6" w:rsidRDefault="00825411" w:rsidP="00825411">
      <w:pPr>
        <w:spacing w:after="0"/>
        <w:rPr>
          <w:rFonts w:ascii="Calibri" w:hAnsi="Calibri" w:cs="Calibri"/>
          <w:b/>
          <w:sz w:val="18"/>
          <w:lang w:val="en-US"/>
        </w:rPr>
      </w:pPr>
      <w:r w:rsidRPr="00BE59E1">
        <w:rPr>
          <w:rFonts w:ascii="Calibri" w:hAnsi="Calibri" w:cs="Calibri"/>
          <w:b/>
          <w:sz w:val="18"/>
          <w:lang w:val="en-US"/>
        </w:rPr>
        <w:t xml:space="preserve">NAV per </w:t>
      </w:r>
      <w:r w:rsidRPr="00182A34">
        <w:rPr>
          <w:rFonts w:ascii="Calibri" w:hAnsi="Calibri" w:cs="Calibri"/>
          <w:b/>
          <w:sz w:val="18"/>
          <w:lang w:val="en-US"/>
        </w:rPr>
        <w:t>share (</w:t>
      </w:r>
      <w:r w:rsidR="009174F9">
        <w:rPr>
          <w:rFonts w:ascii="Calibri" w:hAnsi="Calibri" w:cs="Calibri"/>
          <w:b/>
          <w:sz w:val="18"/>
          <w:lang w:val="en-US"/>
        </w:rPr>
        <w:t>June</w:t>
      </w:r>
      <w:r w:rsidR="006A2FDA">
        <w:rPr>
          <w:rFonts w:ascii="Calibri" w:hAnsi="Calibri" w:cs="Calibri"/>
          <w:b/>
          <w:sz w:val="18"/>
          <w:lang w:val="en-US"/>
        </w:rPr>
        <w:t xml:space="preserve"> 3</w:t>
      </w:r>
      <w:r w:rsidR="009174F9">
        <w:rPr>
          <w:rFonts w:ascii="Calibri" w:hAnsi="Calibri" w:cs="Calibri"/>
          <w:b/>
          <w:sz w:val="18"/>
          <w:lang w:val="en-US"/>
        </w:rPr>
        <w:t>0</w:t>
      </w:r>
      <w:r w:rsidRPr="00182A34">
        <w:rPr>
          <w:rFonts w:ascii="Calibri" w:hAnsi="Calibri" w:cs="Calibri"/>
          <w:b/>
          <w:sz w:val="18"/>
          <w:lang w:val="en-US"/>
        </w:rPr>
        <w:t>, 202</w:t>
      </w:r>
      <w:r w:rsidR="006D3DFA">
        <w:rPr>
          <w:rFonts w:ascii="Calibri" w:hAnsi="Calibri" w:cs="Calibri"/>
          <w:b/>
          <w:sz w:val="18"/>
          <w:lang w:val="en-US"/>
        </w:rPr>
        <w:t>6</w:t>
      </w:r>
      <w:r w:rsidRPr="00182A34">
        <w:rPr>
          <w:rFonts w:ascii="Calibri" w:hAnsi="Calibri" w:cs="Calibri"/>
          <w:b/>
          <w:sz w:val="18"/>
          <w:lang w:val="en-US"/>
        </w:rPr>
        <w:t xml:space="preserve">): </w:t>
      </w:r>
      <w:bookmarkStart w:id="0" w:name="_Hlk155621766"/>
      <w:r w:rsidR="007264CB" w:rsidRPr="00182A34">
        <w:rPr>
          <w:b/>
          <w:sz w:val="18"/>
          <w:lang w:val="en-US"/>
        </w:rPr>
        <w:t xml:space="preserve">EUR </w:t>
      </w:r>
      <w:r w:rsidR="006A2FDA">
        <w:rPr>
          <w:b/>
          <w:sz w:val="18"/>
          <w:lang w:val="en-US"/>
        </w:rPr>
        <w:t>220.1</w:t>
      </w:r>
      <w:r w:rsidR="007264CB" w:rsidRPr="00182A34">
        <w:rPr>
          <w:b/>
          <w:sz w:val="18"/>
          <w:lang w:val="en-US"/>
        </w:rPr>
        <w:t xml:space="preserve">, monthly </w:t>
      </w:r>
      <w:r w:rsidR="007264CB" w:rsidRPr="003D1AF6">
        <w:rPr>
          <w:b/>
          <w:sz w:val="18"/>
          <w:lang w:val="en-US"/>
        </w:rPr>
        <w:t>performance</w:t>
      </w:r>
      <w:bookmarkEnd w:id="0"/>
      <w:r w:rsidRPr="003D1AF6">
        <w:rPr>
          <w:rFonts w:ascii="Calibri" w:hAnsi="Calibri" w:cs="Calibri"/>
          <w:b/>
          <w:sz w:val="18"/>
          <w:lang w:val="en-US"/>
        </w:rPr>
        <w:t xml:space="preserve">: </w:t>
      </w:r>
      <w:r w:rsidR="00B531A5">
        <w:rPr>
          <w:rFonts w:ascii="Calibri" w:hAnsi="Calibri" w:cs="Calibri"/>
          <w:b/>
          <w:sz w:val="18"/>
          <w:lang w:val="en-US"/>
        </w:rPr>
        <w:t>-</w:t>
      </w:r>
      <w:r w:rsidR="009174F9">
        <w:rPr>
          <w:rFonts w:ascii="Calibri" w:hAnsi="Calibri" w:cs="Calibri"/>
          <w:b/>
          <w:sz w:val="18"/>
          <w:lang w:val="en-US"/>
        </w:rPr>
        <w:t>1</w:t>
      </w:r>
      <w:r w:rsidR="006A2FDA">
        <w:rPr>
          <w:rFonts w:ascii="Calibri" w:hAnsi="Calibri" w:cs="Calibri"/>
          <w:b/>
          <w:sz w:val="18"/>
          <w:lang w:val="en-US"/>
        </w:rPr>
        <w:t>.</w:t>
      </w:r>
      <w:r w:rsidR="00B531A5">
        <w:rPr>
          <w:rFonts w:ascii="Calibri" w:hAnsi="Calibri" w:cs="Calibri"/>
          <w:b/>
          <w:sz w:val="18"/>
          <w:lang w:val="en-US"/>
        </w:rPr>
        <w:t>11</w:t>
      </w:r>
      <w:r w:rsidRPr="003D1AF6">
        <w:rPr>
          <w:rFonts w:ascii="Calibri" w:hAnsi="Calibri" w:cs="Calibri"/>
          <w:b/>
          <w:sz w:val="18"/>
          <w:lang w:val="en-US"/>
        </w:rPr>
        <w:t>%, YTD:</w:t>
      </w:r>
      <w:r w:rsidR="006A2FDA">
        <w:rPr>
          <w:rFonts w:ascii="Calibri" w:hAnsi="Calibri" w:cs="Calibri"/>
          <w:b/>
          <w:sz w:val="18"/>
          <w:lang w:val="en-US"/>
        </w:rPr>
        <w:t>1</w:t>
      </w:r>
      <w:r w:rsidR="00B531A5">
        <w:rPr>
          <w:rFonts w:ascii="Calibri" w:hAnsi="Calibri" w:cs="Calibri"/>
          <w:b/>
          <w:sz w:val="18"/>
          <w:lang w:val="en-US"/>
        </w:rPr>
        <w:t>2</w:t>
      </w:r>
      <w:r w:rsidR="006A2FDA">
        <w:rPr>
          <w:rFonts w:ascii="Calibri" w:hAnsi="Calibri" w:cs="Calibri"/>
          <w:b/>
          <w:sz w:val="18"/>
          <w:lang w:val="en-US"/>
        </w:rPr>
        <w:t>.</w:t>
      </w:r>
      <w:r w:rsidR="00B531A5">
        <w:rPr>
          <w:rFonts w:ascii="Calibri" w:hAnsi="Calibri" w:cs="Calibri"/>
          <w:b/>
          <w:sz w:val="18"/>
          <w:lang w:val="en-US"/>
        </w:rPr>
        <w:t>03</w:t>
      </w:r>
      <w:r w:rsidRPr="003D1AF6">
        <w:rPr>
          <w:rFonts w:ascii="Calibri" w:hAnsi="Calibri" w:cs="Calibri"/>
          <w:b/>
          <w:sz w:val="18"/>
          <w:lang w:val="en-US"/>
        </w:rPr>
        <w:t>%,</w:t>
      </w:r>
      <w:r w:rsidR="009174AB" w:rsidRPr="003D1AF6">
        <w:rPr>
          <w:rFonts w:ascii="Calibri" w:hAnsi="Calibri" w:cs="Calibri"/>
          <w:b/>
          <w:sz w:val="18"/>
          <w:lang w:val="en-US"/>
        </w:rPr>
        <w:t xml:space="preserve"> </w:t>
      </w:r>
      <w:r w:rsidRPr="003D1AF6">
        <w:rPr>
          <w:rFonts w:ascii="Calibri" w:hAnsi="Calibri" w:cs="Calibri"/>
          <w:b/>
          <w:sz w:val="18"/>
          <w:lang w:val="en-US"/>
        </w:rPr>
        <w:t>since inception: +</w:t>
      </w:r>
      <w:r w:rsidR="006A2FDA">
        <w:rPr>
          <w:rFonts w:ascii="Calibri" w:hAnsi="Calibri" w:cs="Calibri"/>
          <w:b/>
          <w:sz w:val="18"/>
          <w:lang w:val="en-US"/>
        </w:rPr>
        <w:t>1</w:t>
      </w:r>
      <w:r w:rsidR="009174F9">
        <w:rPr>
          <w:rFonts w:ascii="Calibri" w:hAnsi="Calibri" w:cs="Calibri"/>
          <w:b/>
          <w:sz w:val="18"/>
          <w:lang w:val="en-US"/>
        </w:rPr>
        <w:t>2</w:t>
      </w:r>
      <w:r w:rsidR="00B531A5">
        <w:rPr>
          <w:rFonts w:ascii="Calibri" w:hAnsi="Calibri" w:cs="Calibri"/>
          <w:b/>
          <w:sz w:val="18"/>
          <w:lang w:val="en-US"/>
        </w:rPr>
        <w:t>0</w:t>
      </w:r>
      <w:r w:rsidR="006A2FDA">
        <w:rPr>
          <w:rFonts w:ascii="Calibri" w:hAnsi="Calibri" w:cs="Calibri"/>
          <w:b/>
          <w:sz w:val="18"/>
          <w:lang w:val="en-US"/>
        </w:rPr>
        <w:t>.</w:t>
      </w:r>
      <w:r w:rsidR="00B531A5">
        <w:rPr>
          <w:rFonts w:ascii="Calibri" w:hAnsi="Calibri" w:cs="Calibri"/>
          <w:b/>
          <w:sz w:val="18"/>
          <w:lang w:val="en-US"/>
        </w:rPr>
        <w:t>31</w:t>
      </w:r>
      <w:r w:rsidR="00DA188E" w:rsidRPr="003D1AF6">
        <w:rPr>
          <w:rFonts w:ascii="Calibri" w:hAnsi="Calibri" w:cs="Calibri"/>
          <w:b/>
          <w:sz w:val="18"/>
          <w:lang w:val="en-US"/>
        </w:rPr>
        <w:t>%</w:t>
      </w:r>
    </w:p>
    <w:p w14:paraId="1CB33E78" w14:textId="77777777" w:rsidR="00825411" w:rsidRPr="00BE59E1" w:rsidRDefault="00825411" w:rsidP="00825411">
      <w:pPr>
        <w:pStyle w:val="Heading1"/>
        <w:spacing w:before="240" w:after="120" w:line="240" w:lineRule="auto"/>
        <w:rPr>
          <w:rFonts w:ascii="Calibri" w:hAnsi="Calibri" w:cs="Calibri"/>
          <w:color w:val="C00000"/>
          <w:sz w:val="24"/>
          <w:lang w:val="en-US"/>
        </w:rPr>
      </w:pPr>
      <w:r w:rsidRPr="00BE59E1">
        <w:rPr>
          <w:rFonts w:ascii="Calibri" w:hAnsi="Calibri" w:cs="Calibri"/>
          <w:color w:val="C00000"/>
          <w:sz w:val="24"/>
          <w:lang w:val="en-US"/>
        </w:rPr>
        <w:t>The Aspermont Dividend Stock Basket</w:t>
      </w:r>
    </w:p>
    <w:p w14:paraId="221E374F" w14:textId="1B25E1B0" w:rsidR="00825411" w:rsidRPr="003A7ED1" w:rsidRDefault="00825411" w:rsidP="003A7ED1">
      <w:pPr>
        <w:spacing w:line="240" w:lineRule="auto"/>
        <w:jc w:val="both"/>
        <w:rPr>
          <w:rFonts w:ascii="Calibri" w:hAnsi="Calibri" w:cs="Calibri"/>
          <w:sz w:val="16"/>
          <w:szCs w:val="16"/>
          <w:lang w:val="en-US"/>
        </w:rPr>
      </w:pPr>
      <w:r w:rsidRPr="00A1740E">
        <w:rPr>
          <w:rFonts w:ascii="Calibri" w:hAnsi="Calibri" w:cs="Calibri"/>
          <w:sz w:val="16"/>
          <w:szCs w:val="16"/>
          <w:lang w:val="en-US"/>
        </w:rPr>
        <w:t>The Actively Managed (Strategy) Certificate (AMC) linked to the Aspermont Capital Dividend Stock Basket provides investors access to a broadly diversified portfolio of around 30 attractive value stocks. We particularly seek out companies with stable or growing dividends and payout ratios, driven by healthy balance sheet structures and sustainable revenue and earnings growth. While screening for such quantitative elements as margin growth, free cash flow and debt-to-equity ratios, qualitative aspects like management performance and corporate strategy are also included in our selection process. A minimum of 80% of the portfolio will be invested in large cap names with market capitalizations of over EUR 10 billion.</w:t>
      </w:r>
      <w:r w:rsidR="00693B87">
        <w:rPr>
          <w:rFonts w:ascii="Calibri" w:hAnsi="Calibri" w:cs="Calibri"/>
          <w:sz w:val="16"/>
          <w:szCs w:val="16"/>
          <w:lang w:val="en-US"/>
        </w:rPr>
        <w:t xml:space="preserve">  </w:t>
      </w:r>
    </w:p>
    <w:p w14:paraId="3DAED8D4" w14:textId="03B9B905" w:rsidR="00825411" w:rsidRPr="00A1740E" w:rsidRDefault="00825411" w:rsidP="00825411">
      <w:pPr>
        <w:spacing w:after="0" w:line="240" w:lineRule="auto"/>
        <w:jc w:val="both"/>
        <w:rPr>
          <w:b/>
          <w:bCs/>
          <w:color w:val="C00000"/>
          <w:sz w:val="24"/>
          <w:lang w:val="en-US"/>
        </w:rPr>
      </w:pPr>
      <w:r w:rsidRPr="00227BD9">
        <w:rPr>
          <w:b/>
          <w:bCs/>
          <w:color w:val="C00000"/>
          <w:sz w:val="24"/>
          <w:lang w:val="en-US"/>
        </w:rPr>
        <w:t>Manager’s Comment</w:t>
      </w:r>
    </w:p>
    <w:tbl>
      <w:tblPr>
        <w:tblStyle w:val="TableGrid"/>
        <w:tblW w:w="92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70" w:type="dxa"/>
          <w:right w:w="70" w:type="dxa"/>
        </w:tblCellMar>
        <w:tblLook w:val="04A0" w:firstRow="1" w:lastRow="0" w:firstColumn="1" w:lastColumn="0" w:noHBand="0" w:noVBand="1"/>
      </w:tblPr>
      <w:tblGrid>
        <w:gridCol w:w="4563"/>
        <w:gridCol w:w="160"/>
        <w:gridCol w:w="4516"/>
      </w:tblGrid>
      <w:tr w:rsidR="00825411" w:rsidRPr="002F035F" w14:paraId="0ED9987F" w14:textId="77777777">
        <w:trPr>
          <w:trHeight w:val="892"/>
        </w:trPr>
        <w:tc>
          <w:tcPr>
            <w:tcW w:w="4570" w:type="dxa"/>
          </w:tcPr>
          <w:p w14:paraId="6A90520D" w14:textId="6D5D9B14" w:rsidR="00744CFF" w:rsidRPr="00C36AE2" w:rsidRDefault="007E6153" w:rsidP="00523AE9">
            <w:pPr>
              <w:tabs>
                <w:tab w:val="left" w:pos="6073"/>
              </w:tabs>
              <w:suppressAutoHyphens/>
              <w:spacing w:after="120" w:line="240" w:lineRule="auto"/>
              <w:ind w:left="-74"/>
              <w:jc w:val="both"/>
              <w:rPr>
                <w:rFonts w:ascii="Calibri" w:hAnsi="Calibri" w:cs="Calibri"/>
                <w:sz w:val="16"/>
                <w:szCs w:val="16"/>
                <w:lang w:val="en-US"/>
              </w:rPr>
            </w:pPr>
            <w:r w:rsidRPr="00C36AE2">
              <w:rPr>
                <w:rFonts w:ascii="Calibri" w:hAnsi="Calibri" w:cs="Calibri"/>
                <w:sz w:val="16"/>
                <w:szCs w:val="16"/>
                <w:lang w:val="en-US"/>
              </w:rPr>
              <w:t xml:space="preserve">In </w:t>
            </w:r>
            <w:r w:rsidR="0031111E">
              <w:rPr>
                <w:rFonts w:ascii="Calibri" w:hAnsi="Calibri" w:cs="Calibri"/>
                <w:sz w:val="16"/>
                <w:szCs w:val="16"/>
                <w:lang w:val="en-US"/>
              </w:rPr>
              <w:t>July</w:t>
            </w:r>
            <w:r w:rsidR="00523AE9" w:rsidRPr="00C36AE2">
              <w:rPr>
                <w:rFonts w:ascii="Calibri" w:hAnsi="Calibri" w:cs="Calibri"/>
                <w:sz w:val="16"/>
                <w:szCs w:val="16"/>
                <w:lang w:val="en-US"/>
              </w:rPr>
              <w:t xml:space="preserve">, the Dividend Basket delivered a performance of </w:t>
            </w:r>
            <w:r w:rsidR="00B531A5">
              <w:rPr>
                <w:rFonts w:ascii="Calibri" w:hAnsi="Calibri" w:cs="Calibri"/>
                <w:sz w:val="16"/>
                <w:szCs w:val="16"/>
                <w:lang w:val="en-US"/>
              </w:rPr>
              <w:t>-</w:t>
            </w:r>
            <w:r w:rsidR="009174F9" w:rsidRPr="00C36AE2">
              <w:rPr>
                <w:rFonts w:ascii="Calibri" w:hAnsi="Calibri" w:cs="Calibri"/>
                <w:sz w:val="16"/>
                <w:szCs w:val="16"/>
                <w:lang w:val="en-US"/>
              </w:rPr>
              <w:t>1</w:t>
            </w:r>
            <w:r w:rsidR="006A2FDA" w:rsidRPr="00C36AE2">
              <w:rPr>
                <w:rFonts w:ascii="Calibri" w:hAnsi="Calibri" w:cs="Calibri"/>
                <w:sz w:val="16"/>
                <w:szCs w:val="16"/>
                <w:lang w:val="en-US"/>
              </w:rPr>
              <w:t>.</w:t>
            </w:r>
            <w:r w:rsidR="00B531A5">
              <w:rPr>
                <w:rFonts w:ascii="Calibri" w:hAnsi="Calibri" w:cs="Calibri"/>
                <w:sz w:val="16"/>
                <w:szCs w:val="16"/>
                <w:lang w:val="en-US"/>
              </w:rPr>
              <w:t>11</w:t>
            </w:r>
            <w:r w:rsidR="00523AE9" w:rsidRPr="00C36AE2">
              <w:rPr>
                <w:rFonts w:ascii="Calibri" w:hAnsi="Calibri" w:cs="Calibri"/>
                <w:sz w:val="16"/>
                <w:szCs w:val="16"/>
                <w:lang w:val="en-US"/>
              </w:rPr>
              <w:t>%</w:t>
            </w:r>
            <w:r w:rsidR="00E12761" w:rsidRPr="00C36AE2">
              <w:rPr>
                <w:rFonts w:ascii="Calibri" w:hAnsi="Calibri" w:cs="Calibri"/>
                <w:sz w:val="16"/>
                <w:szCs w:val="16"/>
                <w:lang w:val="en-US"/>
              </w:rPr>
              <w:t>. W</w:t>
            </w:r>
            <w:r w:rsidR="006A2FDA" w:rsidRPr="00C36AE2">
              <w:rPr>
                <w:rFonts w:ascii="Calibri" w:hAnsi="Calibri" w:cs="Calibri"/>
                <w:sz w:val="16"/>
                <w:szCs w:val="16"/>
                <w:lang w:val="en-US"/>
              </w:rPr>
              <w:t xml:space="preserve">hile there is hope about a possible end to the conflict, the major driver this month was the tech industry. The major markets </w:t>
            </w:r>
            <w:r w:rsidR="00AD3D14" w:rsidRPr="00C36AE2">
              <w:rPr>
                <w:rFonts w:ascii="Calibri" w:hAnsi="Calibri" w:cs="Calibri"/>
                <w:sz w:val="16"/>
                <w:szCs w:val="16"/>
                <w:lang w:val="en-US"/>
              </w:rPr>
              <w:t>had mixed performance</w:t>
            </w:r>
            <w:r w:rsidR="006A2FDA" w:rsidRPr="00C36AE2">
              <w:rPr>
                <w:rFonts w:ascii="Calibri" w:hAnsi="Calibri" w:cs="Calibri"/>
                <w:sz w:val="16"/>
                <w:szCs w:val="16"/>
                <w:lang w:val="en-US"/>
              </w:rPr>
              <w:t xml:space="preserve">: </w:t>
            </w:r>
            <w:r w:rsidR="00E12761" w:rsidRPr="00C36AE2">
              <w:rPr>
                <w:rFonts w:ascii="Calibri" w:hAnsi="Calibri" w:cs="Calibri"/>
                <w:sz w:val="16"/>
                <w:szCs w:val="16"/>
                <w:lang w:val="en-US"/>
              </w:rPr>
              <w:t xml:space="preserve">DAX </w:t>
            </w:r>
            <w:r w:rsidR="00B531A5">
              <w:rPr>
                <w:rFonts w:ascii="Calibri" w:hAnsi="Calibri" w:cs="Calibri"/>
                <w:sz w:val="16"/>
                <w:szCs w:val="16"/>
                <w:lang w:val="en-US"/>
              </w:rPr>
              <w:t>+2</w:t>
            </w:r>
            <w:r w:rsidR="001777FA" w:rsidRPr="00C36AE2">
              <w:rPr>
                <w:rFonts w:ascii="Calibri" w:hAnsi="Calibri" w:cs="Calibri"/>
                <w:sz w:val="16"/>
                <w:szCs w:val="16"/>
                <w:lang w:val="en-US"/>
              </w:rPr>
              <w:t>.</w:t>
            </w:r>
            <w:r w:rsidR="00B531A5">
              <w:rPr>
                <w:rFonts w:ascii="Calibri" w:hAnsi="Calibri" w:cs="Calibri"/>
                <w:sz w:val="16"/>
                <w:szCs w:val="16"/>
                <w:lang w:val="en-US"/>
              </w:rPr>
              <w:t>5</w:t>
            </w:r>
            <w:r w:rsidR="00AD3D14" w:rsidRPr="00C36AE2">
              <w:rPr>
                <w:rFonts w:ascii="Calibri" w:hAnsi="Calibri" w:cs="Calibri"/>
                <w:sz w:val="16"/>
                <w:szCs w:val="16"/>
                <w:lang w:val="en-US"/>
              </w:rPr>
              <w:t>3</w:t>
            </w:r>
            <w:r w:rsidR="00E12761" w:rsidRPr="00C36AE2">
              <w:rPr>
                <w:rFonts w:ascii="Calibri" w:hAnsi="Calibri" w:cs="Calibri"/>
                <w:sz w:val="16"/>
                <w:szCs w:val="16"/>
                <w:lang w:val="en-US"/>
              </w:rPr>
              <w:t>%, Eurostoxx 50</w:t>
            </w:r>
            <w:r w:rsidR="00D27F80" w:rsidRPr="00C36AE2">
              <w:rPr>
                <w:rFonts w:ascii="Calibri" w:hAnsi="Calibri" w:cs="Calibri"/>
                <w:sz w:val="16"/>
                <w:szCs w:val="16"/>
                <w:lang w:val="en-US"/>
              </w:rPr>
              <w:t xml:space="preserve"> </w:t>
            </w:r>
            <w:r w:rsidR="001777FA" w:rsidRPr="00C36AE2">
              <w:rPr>
                <w:rFonts w:ascii="Calibri" w:hAnsi="Calibri" w:cs="Calibri"/>
                <w:sz w:val="16"/>
                <w:szCs w:val="16"/>
                <w:lang w:val="en-US"/>
              </w:rPr>
              <w:t>+</w:t>
            </w:r>
            <w:r w:rsidR="00B531A5">
              <w:rPr>
                <w:rFonts w:ascii="Calibri" w:hAnsi="Calibri" w:cs="Calibri"/>
                <w:sz w:val="16"/>
                <w:szCs w:val="16"/>
                <w:lang w:val="en-US"/>
              </w:rPr>
              <w:t>0</w:t>
            </w:r>
            <w:r w:rsidR="001777FA" w:rsidRPr="00C36AE2">
              <w:rPr>
                <w:rFonts w:ascii="Calibri" w:hAnsi="Calibri" w:cs="Calibri"/>
                <w:sz w:val="16"/>
                <w:szCs w:val="16"/>
                <w:lang w:val="en-US"/>
              </w:rPr>
              <w:t>.</w:t>
            </w:r>
            <w:r w:rsidR="00B531A5">
              <w:rPr>
                <w:rFonts w:ascii="Calibri" w:hAnsi="Calibri" w:cs="Calibri"/>
                <w:sz w:val="16"/>
                <w:szCs w:val="16"/>
                <w:lang w:val="en-US"/>
              </w:rPr>
              <w:t>47</w:t>
            </w:r>
            <w:r w:rsidR="00E12761" w:rsidRPr="00C36AE2">
              <w:rPr>
                <w:rFonts w:ascii="Calibri" w:hAnsi="Calibri" w:cs="Calibri"/>
                <w:sz w:val="16"/>
                <w:szCs w:val="16"/>
                <w:lang w:val="en-US"/>
              </w:rPr>
              <w:t>%, SMI</w:t>
            </w:r>
            <w:r w:rsidR="001777FA" w:rsidRPr="00C36AE2">
              <w:rPr>
                <w:rFonts w:ascii="Calibri" w:hAnsi="Calibri" w:cs="Calibri"/>
                <w:sz w:val="16"/>
                <w:szCs w:val="16"/>
                <w:lang w:val="en-US"/>
              </w:rPr>
              <w:t xml:space="preserve"> +</w:t>
            </w:r>
            <w:r w:rsidR="00B531A5">
              <w:rPr>
                <w:rFonts w:ascii="Calibri" w:hAnsi="Calibri" w:cs="Calibri"/>
                <w:sz w:val="16"/>
                <w:szCs w:val="16"/>
                <w:lang w:val="en-US"/>
              </w:rPr>
              <w:t>1</w:t>
            </w:r>
            <w:r w:rsidR="001777FA" w:rsidRPr="00C36AE2">
              <w:rPr>
                <w:rFonts w:ascii="Calibri" w:hAnsi="Calibri" w:cs="Calibri"/>
                <w:sz w:val="16"/>
                <w:szCs w:val="16"/>
                <w:lang w:val="en-US"/>
              </w:rPr>
              <w:t>.</w:t>
            </w:r>
            <w:r w:rsidR="00B531A5">
              <w:rPr>
                <w:rFonts w:ascii="Calibri" w:hAnsi="Calibri" w:cs="Calibri"/>
                <w:sz w:val="16"/>
                <w:szCs w:val="16"/>
                <w:lang w:val="en-US"/>
              </w:rPr>
              <w:t>07</w:t>
            </w:r>
            <w:r w:rsidR="00E12761" w:rsidRPr="00C36AE2">
              <w:rPr>
                <w:rFonts w:ascii="Calibri" w:hAnsi="Calibri" w:cs="Calibri"/>
                <w:sz w:val="16"/>
                <w:szCs w:val="16"/>
                <w:lang w:val="en-US"/>
              </w:rPr>
              <w:t>%, S&amp;P500</w:t>
            </w:r>
            <w:r w:rsidR="001777FA" w:rsidRPr="00C36AE2">
              <w:rPr>
                <w:rFonts w:ascii="Calibri" w:hAnsi="Calibri" w:cs="Calibri"/>
                <w:sz w:val="16"/>
                <w:szCs w:val="16"/>
                <w:lang w:val="en-US"/>
              </w:rPr>
              <w:t xml:space="preserve"> </w:t>
            </w:r>
            <w:r w:rsidR="00AD3D14" w:rsidRPr="00C36AE2">
              <w:rPr>
                <w:rFonts w:ascii="Calibri" w:hAnsi="Calibri" w:cs="Calibri"/>
                <w:sz w:val="16"/>
                <w:szCs w:val="16"/>
                <w:lang w:val="en-US"/>
              </w:rPr>
              <w:t>-</w:t>
            </w:r>
            <w:r w:rsidR="00B531A5">
              <w:rPr>
                <w:rFonts w:ascii="Calibri" w:hAnsi="Calibri" w:cs="Calibri"/>
                <w:sz w:val="16"/>
                <w:szCs w:val="16"/>
                <w:lang w:val="en-US"/>
              </w:rPr>
              <w:t>0</w:t>
            </w:r>
            <w:r w:rsidR="001777FA" w:rsidRPr="00C36AE2">
              <w:rPr>
                <w:rFonts w:ascii="Calibri" w:hAnsi="Calibri" w:cs="Calibri"/>
                <w:sz w:val="16"/>
                <w:szCs w:val="16"/>
                <w:lang w:val="en-US"/>
              </w:rPr>
              <w:t>.</w:t>
            </w:r>
            <w:r w:rsidR="00B531A5">
              <w:rPr>
                <w:rFonts w:ascii="Calibri" w:hAnsi="Calibri" w:cs="Calibri"/>
                <w:sz w:val="16"/>
                <w:szCs w:val="16"/>
                <w:lang w:val="en-US"/>
              </w:rPr>
              <w:t>13</w:t>
            </w:r>
            <w:r w:rsidR="00E12761" w:rsidRPr="00C36AE2">
              <w:rPr>
                <w:rFonts w:ascii="Calibri" w:hAnsi="Calibri" w:cs="Calibri"/>
                <w:sz w:val="16"/>
                <w:szCs w:val="16"/>
                <w:lang w:val="en-US"/>
              </w:rPr>
              <w:t>%</w:t>
            </w:r>
            <w:r w:rsidR="00C36AE2">
              <w:rPr>
                <w:rFonts w:ascii="Calibri" w:hAnsi="Calibri" w:cs="Calibri"/>
                <w:sz w:val="16"/>
                <w:szCs w:val="16"/>
                <w:lang w:val="en-US"/>
              </w:rPr>
              <w:t xml:space="preserve">. </w:t>
            </w:r>
            <w:r w:rsidR="00C6465B" w:rsidRPr="00C36AE2">
              <w:rPr>
                <w:rFonts w:ascii="Calibri" w:hAnsi="Calibri" w:cs="Calibri"/>
                <w:sz w:val="16"/>
                <w:szCs w:val="16"/>
                <w:lang w:val="en-US"/>
              </w:rPr>
              <w:t>In general</w:t>
            </w:r>
            <w:r w:rsidR="00E85880" w:rsidRPr="00C36AE2">
              <w:rPr>
                <w:rFonts w:ascii="Calibri" w:hAnsi="Calibri" w:cs="Calibri"/>
                <w:sz w:val="16"/>
                <w:szCs w:val="16"/>
                <w:lang w:val="en-US"/>
              </w:rPr>
              <w:t>,</w:t>
            </w:r>
            <w:r w:rsidR="00C6465B" w:rsidRPr="00C36AE2">
              <w:rPr>
                <w:rFonts w:ascii="Calibri" w:hAnsi="Calibri" w:cs="Calibri"/>
                <w:sz w:val="16"/>
                <w:szCs w:val="16"/>
                <w:lang w:val="en-US"/>
              </w:rPr>
              <w:t xml:space="preserve"> we </w:t>
            </w:r>
            <w:r w:rsidR="00D27F80" w:rsidRPr="00C36AE2">
              <w:rPr>
                <w:rFonts w:ascii="Calibri" w:hAnsi="Calibri" w:cs="Calibri"/>
                <w:sz w:val="16"/>
                <w:szCs w:val="16"/>
                <w:lang w:val="en-US"/>
              </w:rPr>
              <w:t xml:space="preserve">continued with the </w:t>
            </w:r>
            <w:r w:rsidR="00744CFF" w:rsidRPr="00C36AE2">
              <w:rPr>
                <w:rFonts w:ascii="Calibri" w:hAnsi="Calibri" w:cs="Calibri"/>
                <w:sz w:val="16"/>
                <w:szCs w:val="16"/>
                <w:lang w:val="en-US"/>
              </w:rPr>
              <w:t xml:space="preserve">lower overall </w:t>
            </w:r>
            <w:r w:rsidR="00C6465B" w:rsidRPr="00C36AE2">
              <w:rPr>
                <w:rFonts w:ascii="Calibri" w:hAnsi="Calibri" w:cs="Calibri"/>
                <w:sz w:val="16"/>
                <w:szCs w:val="16"/>
                <w:lang w:val="en-US"/>
              </w:rPr>
              <w:t xml:space="preserve">USD </w:t>
            </w:r>
            <w:r w:rsidR="00E769A2" w:rsidRPr="00C36AE2">
              <w:rPr>
                <w:rFonts w:ascii="Calibri" w:hAnsi="Calibri" w:cs="Calibri"/>
                <w:sz w:val="16"/>
                <w:szCs w:val="16"/>
                <w:lang w:val="en-US"/>
              </w:rPr>
              <w:t>exposure of</w:t>
            </w:r>
            <w:r w:rsidR="00C6465B" w:rsidRPr="00C36AE2">
              <w:rPr>
                <w:rFonts w:ascii="Calibri" w:hAnsi="Calibri" w:cs="Calibri"/>
                <w:sz w:val="16"/>
                <w:szCs w:val="16"/>
                <w:lang w:val="en-US"/>
              </w:rPr>
              <w:t xml:space="preserve"> </w:t>
            </w:r>
            <w:r w:rsidR="00FA316A" w:rsidRPr="00C36AE2">
              <w:rPr>
                <w:rFonts w:ascii="Calibri" w:hAnsi="Calibri" w:cs="Calibri"/>
                <w:sz w:val="16"/>
                <w:szCs w:val="16"/>
                <w:lang w:val="en-US"/>
              </w:rPr>
              <w:t>around 2</w:t>
            </w:r>
            <w:r w:rsidR="000B7B09" w:rsidRPr="00C36AE2">
              <w:rPr>
                <w:rFonts w:ascii="Calibri" w:hAnsi="Calibri" w:cs="Calibri"/>
                <w:sz w:val="16"/>
                <w:szCs w:val="16"/>
                <w:lang w:val="en-US"/>
              </w:rPr>
              <w:t>0</w:t>
            </w:r>
            <w:r w:rsidR="00744CFF" w:rsidRPr="00C36AE2">
              <w:rPr>
                <w:rFonts w:ascii="Calibri" w:hAnsi="Calibri" w:cs="Calibri"/>
                <w:sz w:val="16"/>
                <w:szCs w:val="16"/>
                <w:lang w:val="en-US"/>
              </w:rPr>
              <w:t xml:space="preserve">%. The USD has been weak in </w:t>
            </w:r>
            <w:r w:rsidR="00693B87" w:rsidRPr="00C36AE2">
              <w:rPr>
                <w:rFonts w:ascii="Calibri" w:hAnsi="Calibri" w:cs="Calibri"/>
                <w:sz w:val="16"/>
                <w:szCs w:val="16"/>
                <w:lang w:val="en-US"/>
              </w:rPr>
              <w:t xml:space="preserve">the past months </w:t>
            </w:r>
            <w:r w:rsidR="00E769A2" w:rsidRPr="00C36AE2">
              <w:rPr>
                <w:rFonts w:ascii="Calibri" w:hAnsi="Calibri" w:cs="Calibri"/>
                <w:sz w:val="16"/>
                <w:szCs w:val="16"/>
                <w:lang w:val="en-US"/>
              </w:rPr>
              <w:t>and in</w:t>
            </w:r>
            <w:r w:rsidR="00693B87" w:rsidRPr="00C36AE2">
              <w:rPr>
                <w:rFonts w:ascii="Calibri" w:hAnsi="Calibri" w:cs="Calibri"/>
                <w:sz w:val="16"/>
                <w:szCs w:val="16"/>
                <w:lang w:val="en-US"/>
              </w:rPr>
              <w:t xml:space="preserve"> </w:t>
            </w:r>
            <w:r w:rsidR="009174F9" w:rsidRPr="00C36AE2">
              <w:rPr>
                <w:rFonts w:ascii="Calibri" w:hAnsi="Calibri" w:cs="Calibri"/>
                <w:sz w:val="16"/>
                <w:szCs w:val="16"/>
                <w:lang w:val="en-US"/>
              </w:rPr>
              <w:t>Ju</w:t>
            </w:r>
            <w:r w:rsidR="00056509">
              <w:rPr>
                <w:rFonts w:ascii="Calibri" w:hAnsi="Calibri" w:cs="Calibri"/>
                <w:sz w:val="16"/>
                <w:szCs w:val="16"/>
                <w:lang w:val="en-US"/>
              </w:rPr>
              <w:t>ly</w:t>
            </w:r>
            <w:r w:rsidR="001777FA" w:rsidRPr="00C36AE2">
              <w:rPr>
                <w:rFonts w:ascii="Calibri" w:hAnsi="Calibri" w:cs="Calibri"/>
                <w:sz w:val="16"/>
                <w:szCs w:val="16"/>
                <w:lang w:val="en-US"/>
              </w:rPr>
              <w:t xml:space="preserve"> it </w:t>
            </w:r>
            <w:r w:rsidR="00745C42">
              <w:rPr>
                <w:rFonts w:ascii="Calibri" w:hAnsi="Calibri" w:cs="Calibri"/>
                <w:sz w:val="16"/>
                <w:szCs w:val="16"/>
                <w:lang w:val="en-US"/>
              </w:rPr>
              <w:t>weakened</w:t>
            </w:r>
            <w:r w:rsidR="001777FA" w:rsidRPr="00C36AE2">
              <w:rPr>
                <w:rFonts w:ascii="Calibri" w:hAnsi="Calibri" w:cs="Calibri"/>
                <w:sz w:val="16"/>
                <w:szCs w:val="16"/>
                <w:lang w:val="en-US"/>
              </w:rPr>
              <w:t xml:space="preserve"> </w:t>
            </w:r>
            <w:r w:rsidR="006B4BC4" w:rsidRPr="00C36AE2">
              <w:rPr>
                <w:rFonts w:ascii="Calibri" w:hAnsi="Calibri" w:cs="Calibri"/>
                <w:sz w:val="16"/>
                <w:szCs w:val="16"/>
                <w:lang w:val="en-US"/>
              </w:rPr>
              <w:t xml:space="preserve">against </w:t>
            </w:r>
            <w:r w:rsidR="00693B87" w:rsidRPr="00C36AE2">
              <w:rPr>
                <w:rFonts w:ascii="Calibri" w:hAnsi="Calibri" w:cs="Calibri"/>
                <w:sz w:val="16"/>
                <w:szCs w:val="16"/>
                <w:lang w:val="en-US"/>
              </w:rPr>
              <w:t>the EUR</w:t>
            </w:r>
            <w:r w:rsidR="00FA316A" w:rsidRPr="00C36AE2">
              <w:rPr>
                <w:rFonts w:ascii="Calibri" w:hAnsi="Calibri" w:cs="Calibri"/>
                <w:sz w:val="16"/>
                <w:szCs w:val="16"/>
                <w:lang w:val="en-US"/>
              </w:rPr>
              <w:t xml:space="preserve"> with </w:t>
            </w:r>
            <w:r w:rsidR="00B531A5">
              <w:rPr>
                <w:rFonts w:ascii="Calibri" w:hAnsi="Calibri" w:cs="Calibri"/>
                <w:sz w:val="16"/>
                <w:szCs w:val="16"/>
                <w:lang w:val="en-US"/>
              </w:rPr>
              <w:t>-0.89</w:t>
            </w:r>
            <w:r w:rsidR="00FA316A" w:rsidRPr="00C36AE2">
              <w:rPr>
                <w:rFonts w:ascii="Calibri" w:hAnsi="Calibri" w:cs="Calibri"/>
                <w:sz w:val="16"/>
                <w:szCs w:val="16"/>
                <w:lang w:val="en-US"/>
              </w:rPr>
              <w:t>%</w:t>
            </w:r>
            <w:r w:rsidR="006B4BC4" w:rsidRPr="00C36AE2">
              <w:rPr>
                <w:rFonts w:ascii="Calibri" w:hAnsi="Calibri" w:cs="Calibri"/>
                <w:sz w:val="16"/>
                <w:szCs w:val="16"/>
                <w:lang w:val="en-US"/>
              </w:rPr>
              <w:t xml:space="preserve">. </w:t>
            </w:r>
          </w:p>
          <w:p w14:paraId="1347F951" w14:textId="56C9F0BB" w:rsidR="009C0431" w:rsidRPr="001D7939" w:rsidRDefault="0031111E" w:rsidP="0031111E">
            <w:pPr>
              <w:tabs>
                <w:tab w:val="left" w:pos="6073"/>
              </w:tabs>
              <w:suppressAutoHyphens/>
              <w:spacing w:after="0" w:line="240" w:lineRule="auto"/>
              <w:ind w:left="-74"/>
              <w:jc w:val="both"/>
              <w:rPr>
                <w:rFonts w:ascii="Calibri" w:hAnsi="Calibri" w:cs="Calibri"/>
                <w:sz w:val="16"/>
                <w:szCs w:val="16"/>
                <w:highlight w:val="yellow"/>
              </w:rPr>
            </w:pPr>
            <w:r>
              <w:rPr>
                <w:rFonts w:ascii="Calibri" w:hAnsi="Calibri" w:cs="Calibri"/>
                <w:sz w:val="16"/>
                <w:szCs w:val="16"/>
                <w:highlight w:val="yellow"/>
                <w:lang w:val="en-GB"/>
              </w:rPr>
              <w:t>Six</w:t>
            </w:r>
            <w:r w:rsidR="00A648C9">
              <w:rPr>
                <w:rFonts w:ascii="Calibri" w:hAnsi="Calibri" w:cs="Calibri"/>
                <w:sz w:val="16"/>
                <w:szCs w:val="16"/>
                <w:highlight w:val="yellow"/>
                <w:lang w:val="en-GB"/>
              </w:rPr>
              <w:t xml:space="preserve"> broadly </w:t>
            </w:r>
            <w:r w:rsidR="009C0431">
              <w:rPr>
                <w:rFonts w:ascii="Calibri" w:hAnsi="Calibri" w:cs="Calibri"/>
                <w:sz w:val="16"/>
                <w:szCs w:val="16"/>
                <w:highlight w:val="yellow"/>
                <w:lang w:val="en-GB"/>
              </w:rPr>
              <w:t>diversified</w:t>
            </w:r>
            <w:r w:rsidR="00A648C9">
              <w:rPr>
                <w:rFonts w:ascii="Calibri" w:hAnsi="Calibri" w:cs="Calibri"/>
                <w:sz w:val="16"/>
                <w:szCs w:val="16"/>
                <w:highlight w:val="yellow"/>
                <w:lang w:val="en-GB"/>
              </w:rPr>
              <w:t xml:space="preserve"> companies</w:t>
            </w:r>
            <w:r w:rsidR="00E87B36">
              <w:rPr>
                <w:rFonts w:ascii="Calibri" w:hAnsi="Calibri" w:cs="Calibri"/>
                <w:sz w:val="16"/>
                <w:szCs w:val="16"/>
                <w:highlight w:val="yellow"/>
                <w:lang w:val="en-GB"/>
              </w:rPr>
              <w:t xml:space="preserve"> </w:t>
            </w:r>
            <w:r w:rsidR="00A648C9">
              <w:rPr>
                <w:rFonts w:ascii="Calibri" w:hAnsi="Calibri" w:cs="Calibri"/>
                <w:sz w:val="16"/>
                <w:szCs w:val="16"/>
                <w:highlight w:val="yellow"/>
                <w:lang w:val="en-GB"/>
              </w:rPr>
              <w:t>with OW of 5% in the div</w:t>
            </w:r>
            <w:r w:rsidR="009C0431">
              <w:rPr>
                <w:rFonts w:ascii="Calibri" w:hAnsi="Calibri" w:cs="Calibri"/>
                <w:sz w:val="16"/>
                <w:szCs w:val="16"/>
                <w:highlight w:val="yellow"/>
                <w:lang w:val="en-GB"/>
              </w:rPr>
              <w:t>ided basket</w:t>
            </w:r>
            <w:r w:rsidR="00A648C9">
              <w:rPr>
                <w:rFonts w:ascii="Calibri" w:hAnsi="Calibri" w:cs="Calibri"/>
                <w:sz w:val="16"/>
                <w:szCs w:val="16"/>
                <w:highlight w:val="yellow"/>
                <w:lang w:val="en-GB"/>
              </w:rPr>
              <w:t xml:space="preserve"> have outperformed the market.</w:t>
            </w:r>
            <w:r w:rsidR="009C0431">
              <w:rPr>
                <w:rFonts w:ascii="Calibri" w:hAnsi="Calibri" w:cs="Calibri"/>
                <w:sz w:val="16"/>
                <w:szCs w:val="16"/>
                <w:highlight w:val="yellow"/>
                <w:lang w:val="en-GB"/>
              </w:rPr>
              <w:t xml:space="preserve"> </w:t>
            </w:r>
            <w:r w:rsidR="009C0431" w:rsidRPr="0074051C">
              <w:rPr>
                <w:rFonts w:ascii="Calibri" w:hAnsi="Calibri" w:cs="Calibri"/>
                <w:sz w:val="16"/>
                <w:szCs w:val="16"/>
                <w:highlight w:val="yellow"/>
                <w:lang w:val="en-GB"/>
              </w:rPr>
              <w:t>TotalEnergies rose 12.2% and added 0.50</w:t>
            </w:r>
            <w:r w:rsidR="009C0431">
              <w:rPr>
                <w:rFonts w:ascii="Calibri" w:hAnsi="Calibri" w:cs="Calibri"/>
                <w:sz w:val="16"/>
                <w:szCs w:val="16"/>
                <w:highlight w:val="yellow"/>
                <w:lang w:val="en-GB"/>
              </w:rPr>
              <w:t>%</w:t>
            </w:r>
            <w:r w:rsidR="009C0431" w:rsidRPr="0074051C">
              <w:rPr>
                <w:rFonts w:ascii="Calibri" w:hAnsi="Calibri" w:cs="Calibri"/>
                <w:sz w:val="16"/>
                <w:szCs w:val="16"/>
                <w:highlight w:val="yellow"/>
                <w:lang w:val="en-GB"/>
              </w:rPr>
              <w:t>, supported by firm commodity prices and strong quarterly cash generation</w:t>
            </w:r>
            <w:r w:rsidR="009C0431">
              <w:rPr>
                <w:rFonts w:ascii="Calibri" w:hAnsi="Calibri" w:cs="Calibri"/>
                <w:sz w:val="16"/>
                <w:szCs w:val="16"/>
                <w:highlight w:val="yellow"/>
                <w:lang w:val="en-GB"/>
              </w:rPr>
              <w:t>.</w:t>
            </w:r>
            <w:r w:rsidR="00F372C7">
              <w:rPr>
                <w:rFonts w:ascii="Calibri" w:hAnsi="Calibri" w:cs="Calibri"/>
                <w:sz w:val="16"/>
                <w:szCs w:val="16"/>
                <w:highlight w:val="yellow"/>
                <w:lang w:val="en-GB"/>
              </w:rPr>
              <w:t xml:space="preserve"> </w:t>
            </w:r>
            <w:r w:rsidR="00F372C7" w:rsidRPr="00F372C7">
              <w:rPr>
                <w:rFonts w:ascii="Calibri" w:hAnsi="Calibri" w:cs="Calibri"/>
                <w:sz w:val="16"/>
                <w:szCs w:val="16"/>
                <w:highlight w:val="yellow"/>
              </w:rPr>
              <w:t xml:space="preserve">Apple </w:t>
            </w:r>
            <w:r w:rsidR="00E87B36">
              <w:rPr>
                <w:rFonts w:ascii="Calibri" w:hAnsi="Calibri" w:cs="Calibri"/>
                <w:sz w:val="16"/>
                <w:szCs w:val="16"/>
                <w:highlight w:val="yellow"/>
              </w:rPr>
              <w:t xml:space="preserve">with a performance of 7.0% </w:t>
            </w:r>
            <w:r w:rsidR="00F372C7" w:rsidRPr="00F372C7">
              <w:rPr>
                <w:rFonts w:ascii="Calibri" w:hAnsi="Calibri" w:cs="Calibri"/>
                <w:sz w:val="16"/>
                <w:szCs w:val="16"/>
                <w:highlight w:val="yellow"/>
              </w:rPr>
              <w:t>contributed +0.31%. The shares were supported by strong fiscal Q3 results, with revenue rising 16% year-on-year</w:t>
            </w:r>
            <w:r w:rsidR="00E87B36">
              <w:rPr>
                <w:rFonts w:ascii="Calibri" w:hAnsi="Calibri" w:cs="Calibri"/>
                <w:sz w:val="16"/>
                <w:szCs w:val="16"/>
                <w:highlight w:val="yellow"/>
              </w:rPr>
              <w:t>.</w:t>
            </w:r>
            <w:r>
              <w:rPr>
                <w:rFonts w:ascii="Calibri" w:hAnsi="Calibri" w:cs="Calibri"/>
                <w:sz w:val="16"/>
                <w:szCs w:val="16"/>
                <w:highlight w:val="yellow"/>
              </w:rPr>
              <w:t xml:space="preserve"> </w:t>
            </w:r>
            <w:r w:rsidR="00F372C7" w:rsidRPr="00E87B36">
              <w:rPr>
                <w:rFonts w:ascii="Calibri" w:hAnsi="Calibri" w:cs="Calibri"/>
                <w:sz w:val="16"/>
                <w:szCs w:val="16"/>
                <w:highlight w:val="yellow"/>
              </w:rPr>
              <w:t>Anheuser-Busch</w:t>
            </w:r>
            <w:r w:rsidR="001D7939">
              <w:rPr>
                <w:rFonts w:ascii="Calibri" w:hAnsi="Calibri" w:cs="Calibri"/>
                <w:sz w:val="16"/>
                <w:szCs w:val="16"/>
                <w:highlight w:val="yellow"/>
              </w:rPr>
              <w:t xml:space="preserve"> InBev </w:t>
            </w:r>
            <w:r w:rsidR="00F372C7" w:rsidRPr="00E87B36">
              <w:rPr>
                <w:rFonts w:ascii="Calibri" w:hAnsi="Calibri" w:cs="Calibri"/>
                <w:sz w:val="16"/>
                <w:szCs w:val="16"/>
                <w:highlight w:val="yellow"/>
              </w:rPr>
              <w:t>(</w:t>
            </w:r>
            <w:r>
              <w:rPr>
                <w:rFonts w:ascii="Calibri" w:hAnsi="Calibri" w:cs="Calibri"/>
                <w:sz w:val="16"/>
                <w:szCs w:val="16"/>
                <w:highlight w:val="yellow"/>
              </w:rPr>
              <w:t>perf</w:t>
            </w:r>
            <w:r w:rsidR="00F372C7" w:rsidRPr="00E87B36">
              <w:rPr>
                <w:rFonts w:ascii="Calibri" w:hAnsi="Calibri" w:cs="Calibri"/>
                <w:sz w:val="16"/>
                <w:szCs w:val="16"/>
                <w:highlight w:val="yellow"/>
              </w:rPr>
              <w:t xml:space="preserve"> +3.41%)</w:t>
            </w:r>
            <w:r w:rsidR="001D7939">
              <w:rPr>
                <w:rFonts w:ascii="Calibri" w:hAnsi="Calibri" w:cs="Calibri"/>
                <w:sz w:val="16"/>
                <w:szCs w:val="16"/>
                <w:highlight w:val="yellow"/>
              </w:rPr>
              <w:t xml:space="preserve"> and </w:t>
            </w:r>
            <w:r w:rsidR="00F372C7" w:rsidRPr="00E87B36">
              <w:rPr>
                <w:rFonts w:ascii="Calibri" w:hAnsi="Calibri" w:cs="Calibri"/>
                <w:sz w:val="16"/>
                <w:szCs w:val="16"/>
                <w:highlight w:val="yellow"/>
              </w:rPr>
              <w:t>Banco Santander (</w:t>
            </w:r>
            <w:r>
              <w:rPr>
                <w:rFonts w:ascii="Calibri" w:hAnsi="Calibri" w:cs="Calibri"/>
                <w:sz w:val="16"/>
                <w:szCs w:val="16"/>
                <w:highlight w:val="yellow"/>
              </w:rPr>
              <w:t>perf</w:t>
            </w:r>
            <w:r w:rsidR="00F372C7" w:rsidRPr="00E87B36">
              <w:rPr>
                <w:rFonts w:ascii="Calibri" w:hAnsi="Calibri" w:cs="Calibri"/>
                <w:sz w:val="16"/>
                <w:szCs w:val="16"/>
                <w:highlight w:val="yellow"/>
              </w:rPr>
              <w:t xml:space="preserve"> +3.32%) contributed </w:t>
            </w:r>
            <w:r w:rsidR="001D7939">
              <w:rPr>
                <w:rFonts w:ascii="Calibri" w:hAnsi="Calibri" w:cs="Calibri"/>
                <w:sz w:val="16"/>
                <w:szCs w:val="16"/>
                <w:highlight w:val="yellow"/>
              </w:rPr>
              <w:t xml:space="preserve">+0.18% and </w:t>
            </w:r>
            <w:r w:rsidR="00F372C7" w:rsidRPr="00E87B36">
              <w:rPr>
                <w:rFonts w:ascii="Calibri" w:hAnsi="Calibri" w:cs="Calibri"/>
                <w:sz w:val="16"/>
                <w:szCs w:val="16"/>
                <w:highlight w:val="yellow"/>
              </w:rPr>
              <w:t>+0.17%</w:t>
            </w:r>
            <w:r w:rsidR="001D7939">
              <w:rPr>
                <w:rFonts w:ascii="Calibri" w:hAnsi="Calibri" w:cs="Calibri"/>
                <w:sz w:val="16"/>
                <w:szCs w:val="16"/>
                <w:highlight w:val="yellow"/>
              </w:rPr>
              <w:t>, respectively</w:t>
            </w:r>
            <w:r w:rsidR="00F372C7" w:rsidRPr="00E87B36">
              <w:rPr>
                <w:rFonts w:ascii="Calibri" w:hAnsi="Calibri" w:cs="Calibri"/>
                <w:sz w:val="16"/>
                <w:szCs w:val="16"/>
                <w:highlight w:val="yellow"/>
              </w:rPr>
              <w:t>.</w:t>
            </w:r>
            <w:r w:rsidR="00E87B36" w:rsidRPr="00E87B36">
              <w:rPr>
                <w:highlight w:val="yellow"/>
              </w:rPr>
              <w:t xml:space="preserve"> </w:t>
            </w:r>
            <w:r w:rsidR="00E87B36" w:rsidRPr="00E87B36">
              <w:rPr>
                <w:rFonts w:ascii="Calibri" w:hAnsi="Calibri" w:cs="Calibri"/>
                <w:sz w:val="16"/>
                <w:szCs w:val="16"/>
                <w:highlight w:val="yellow"/>
              </w:rPr>
              <w:t>Inditex (</w:t>
            </w:r>
            <w:r>
              <w:rPr>
                <w:rFonts w:ascii="Calibri" w:hAnsi="Calibri" w:cs="Calibri"/>
                <w:sz w:val="16"/>
                <w:szCs w:val="16"/>
                <w:highlight w:val="yellow"/>
              </w:rPr>
              <w:t>perf</w:t>
            </w:r>
            <w:r w:rsidR="00E87B36" w:rsidRPr="00E87B36">
              <w:rPr>
                <w:rFonts w:ascii="Calibri" w:hAnsi="Calibri" w:cs="Calibri"/>
                <w:sz w:val="16"/>
                <w:szCs w:val="16"/>
                <w:highlight w:val="yellow"/>
              </w:rPr>
              <w:t xml:space="preserve"> +3.23%) contributed +0.16%. The shares were supported by a late-July upgrade from Barclays to </w:t>
            </w:r>
            <w:r w:rsidR="00E87B36" w:rsidRPr="001D7939">
              <w:rPr>
                <w:rFonts w:ascii="Calibri" w:hAnsi="Calibri" w:cs="Calibri"/>
                <w:sz w:val="16"/>
                <w:szCs w:val="16"/>
                <w:highlight w:val="yellow"/>
              </w:rPr>
              <w:t>Overweight,</w:t>
            </w:r>
            <w:r w:rsidR="00E87B36" w:rsidRPr="00E87B36">
              <w:rPr>
                <w:rFonts w:ascii="Calibri" w:hAnsi="Calibri" w:cs="Calibri"/>
                <w:sz w:val="16"/>
                <w:szCs w:val="16"/>
                <w:highlight w:val="yellow"/>
              </w:rPr>
              <w:t xml:space="preserve"> with the </w:t>
            </w:r>
            <w:r w:rsidR="00E87B36" w:rsidRPr="001D7939">
              <w:rPr>
                <w:rFonts w:ascii="Calibri" w:hAnsi="Calibri" w:cs="Calibri"/>
                <w:sz w:val="16"/>
                <w:szCs w:val="16"/>
                <w:highlight w:val="yellow"/>
              </w:rPr>
              <w:t>broker highlighting Inditex’s pricing power, disciplined inventory management and potential upside to medium-term earnings expectations.</w:t>
            </w:r>
            <w:r w:rsidR="00E87B36" w:rsidRPr="001D7939">
              <w:rPr>
                <w:b/>
                <w:bCs/>
                <w:highlight w:val="yellow"/>
              </w:rPr>
              <w:t xml:space="preserve"> </w:t>
            </w:r>
            <w:r w:rsidR="00E87B36" w:rsidRPr="001D7939">
              <w:rPr>
                <w:rFonts w:ascii="Calibri" w:hAnsi="Calibri" w:cs="Calibri"/>
                <w:sz w:val="16"/>
                <w:szCs w:val="16"/>
                <w:highlight w:val="yellow"/>
              </w:rPr>
              <w:t>Schneider Electric (</w:t>
            </w:r>
            <w:r>
              <w:rPr>
                <w:rFonts w:ascii="Calibri" w:hAnsi="Calibri" w:cs="Calibri"/>
                <w:sz w:val="16"/>
                <w:szCs w:val="16"/>
                <w:highlight w:val="yellow"/>
              </w:rPr>
              <w:t>perf</w:t>
            </w:r>
            <w:r w:rsidR="00E87B36" w:rsidRPr="001D7939">
              <w:rPr>
                <w:rFonts w:ascii="Calibri" w:hAnsi="Calibri" w:cs="Calibri"/>
                <w:sz w:val="16"/>
                <w:szCs w:val="16"/>
                <w:highlight w:val="yellow"/>
              </w:rPr>
              <w:t xml:space="preserve"> +1.39%) contributed +0.07%. The shares were supported by continued strong data-centre demand and record first-half earnings. Management also upgraded its 2026 financial target.</w:t>
            </w:r>
          </w:p>
          <w:p w14:paraId="58EE61A8" w14:textId="77777777" w:rsidR="0031111E" w:rsidRDefault="0074051C" w:rsidP="0031111E">
            <w:pPr>
              <w:tabs>
                <w:tab w:val="left" w:pos="6073"/>
              </w:tabs>
              <w:suppressAutoHyphens/>
              <w:spacing w:after="0" w:line="240" w:lineRule="auto"/>
              <w:ind w:left="-74"/>
              <w:jc w:val="both"/>
              <w:rPr>
                <w:rFonts w:ascii="Calibri" w:hAnsi="Calibri" w:cs="Calibri"/>
                <w:sz w:val="16"/>
                <w:szCs w:val="16"/>
                <w:highlight w:val="yellow"/>
                <w:lang w:val="en-GB"/>
              </w:rPr>
            </w:pPr>
            <w:r w:rsidRPr="0074051C">
              <w:rPr>
                <w:rFonts w:ascii="Calibri" w:hAnsi="Calibri" w:cs="Calibri"/>
                <w:sz w:val="16"/>
                <w:szCs w:val="16"/>
                <w:highlight w:val="yellow"/>
                <w:lang w:val="en-GB"/>
              </w:rPr>
              <w:t>Microsoft was the strongest performer, rising 23.7%. The 3.1% position added 0.59</w:t>
            </w:r>
            <w:r w:rsidR="00D95274">
              <w:rPr>
                <w:rFonts w:ascii="Calibri" w:hAnsi="Calibri" w:cs="Calibri"/>
                <w:sz w:val="16"/>
                <w:szCs w:val="16"/>
                <w:highlight w:val="yellow"/>
                <w:lang w:val="en-GB"/>
              </w:rPr>
              <w:t xml:space="preserve">% </w:t>
            </w:r>
            <w:r w:rsidRPr="0074051C">
              <w:rPr>
                <w:rFonts w:ascii="Calibri" w:hAnsi="Calibri" w:cs="Calibri"/>
                <w:sz w:val="16"/>
                <w:szCs w:val="16"/>
                <w:highlight w:val="yellow"/>
                <w:lang w:val="en-GB"/>
              </w:rPr>
              <w:t>after strong cloud and AI results, including further acceleration in Azure.</w:t>
            </w:r>
            <w:r w:rsidR="009C0431">
              <w:rPr>
                <w:rFonts w:ascii="Calibri" w:hAnsi="Calibri" w:cs="Calibri"/>
                <w:sz w:val="16"/>
                <w:szCs w:val="16"/>
                <w:highlight w:val="yellow"/>
                <w:lang w:val="en-GB"/>
              </w:rPr>
              <w:t xml:space="preserve"> </w:t>
            </w:r>
            <w:r w:rsidRPr="0074051C">
              <w:rPr>
                <w:rFonts w:ascii="Calibri" w:hAnsi="Calibri" w:cs="Calibri"/>
                <w:sz w:val="16"/>
                <w:szCs w:val="16"/>
                <w:highlight w:val="yellow"/>
                <w:lang w:val="en-GB"/>
              </w:rPr>
              <w:t>SAP gained 17.6% and contributed 0.36</w:t>
            </w:r>
            <w:r w:rsidR="00D95274">
              <w:rPr>
                <w:rFonts w:ascii="Calibri" w:hAnsi="Calibri" w:cs="Calibri"/>
                <w:sz w:val="16"/>
                <w:szCs w:val="16"/>
                <w:highlight w:val="yellow"/>
                <w:lang w:val="en-GB"/>
              </w:rPr>
              <w:t>%</w:t>
            </w:r>
            <w:r w:rsidRPr="0074051C">
              <w:rPr>
                <w:rFonts w:ascii="Calibri" w:hAnsi="Calibri" w:cs="Calibri"/>
                <w:sz w:val="16"/>
                <w:szCs w:val="16"/>
                <w:highlight w:val="yellow"/>
                <w:lang w:val="en-GB"/>
              </w:rPr>
              <w:t xml:space="preserve"> as second-quarter cloud momentum and backlog growth remained solid. EMS-Chemie increased 16.8%</w:t>
            </w:r>
            <w:r w:rsidR="00E947F0">
              <w:rPr>
                <w:rFonts w:ascii="Calibri" w:hAnsi="Calibri" w:cs="Calibri"/>
                <w:sz w:val="16"/>
                <w:szCs w:val="16"/>
                <w:highlight w:val="yellow"/>
                <w:lang w:val="en-GB"/>
              </w:rPr>
              <w:t xml:space="preserve"> after strong 1H 2026 earnings and an upward revised FY 2026 forecast</w:t>
            </w:r>
            <w:r w:rsidRPr="0074051C">
              <w:rPr>
                <w:rFonts w:ascii="Calibri" w:hAnsi="Calibri" w:cs="Calibri"/>
                <w:sz w:val="16"/>
                <w:szCs w:val="16"/>
                <w:highlight w:val="yellow"/>
                <w:lang w:val="en-GB"/>
              </w:rPr>
              <w:t>. Deutsche Telekom also performed well, gaining 12.1%.</w:t>
            </w:r>
            <w:r w:rsidR="0031111E">
              <w:rPr>
                <w:rFonts w:ascii="Calibri" w:hAnsi="Calibri" w:cs="Calibri"/>
                <w:sz w:val="16"/>
                <w:szCs w:val="16"/>
                <w:highlight w:val="yellow"/>
                <w:lang w:val="en-GB"/>
              </w:rPr>
              <w:t xml:space="preserve"> </w:t>
            </w:r>
          </w:p>
          <w:p w14:paraId="023A647A" w14:textId="2A5A1F5E" w:rsidR="0031111E" w:rsidRDefault="0031111E" w:rsidP="0031111E">
            <w:pPr>
              <w:tabs>
                <w:tab w:val="left" w:pos="6073"/>
              </w:tabs>
              <w:suppressAutoHyphens/>
              <w:spacing w:after="0" w:line="240" w:lineRule="auto"/>
              <w:ind w:left="-74"/>
              <w:jc w:val="both"/>
              <w:rPr>
                <w:rFonts w:ascii="Calibri" w:hAnsi="Calibri" w:cs="Calibri"/>
                <w:sz w:val="16"/>
                <w:szCs w:val="16"/>
                <w:highlight w:val="yellow"/>
                <w:lang w:val="en-GB"/>
              </w:rPr>
            </w:pPr>
            <w:r>
              <w:rPr>
                <w:rFonts w:ascii="Calibri" w:hAnsi="Calibri" w:cs="Calibri"/>
                <w:sz w:val="16"/>
                <w:szCs w:val="16"/>
                <w:highlight w:val="yellow"/>
                <w:lang w:val="en-US"/>
              </w:rPr>
              <w:t>While the</w:t>
            </w:r>
            <w:r w:rsidR="007C44D7">
              <w:rPr>
                <w:rFonts w:ascii="Calibri" w:hAnsi="Calibri" w:cs="Calibri"/>
                <w:sz w:val="16"/>
                <w:szCs w:val="16"/>
                <w:highlight w:val="yellow"/>
                <w:lang w:val="en-US"/>
              </w:rPr>
              <w:t xml:space="preserve"> tech sector continues to be supported by strong demand for AI</w:t>
            </w:r>
            <w:r>
              <w:rPr>
                <w:rFonts w:ascii="Calibri" w:hAnsi="Calibri" w:cs="Calibri"/>
                <w:sz w:val="16"/>
                <w:szCs w:val="16"/>
                <w:highlight w:val="yellow"/>
                <w:lang w:val="en-US"/>
              </w:rPr>
              <w:t>,</w:t>
            </w:r>
            <w:r w:rsidR="007C44D7">
              <w:rPr>
                <w:rFonts w:ascii="Calibri" w:hAnsi="Calibri" w:cs="Calibri"/>
                <w:sz w:val="16"/>
                <w:szCs w:val="16"/>
                <w:highlight w:val="yellow"/>
                <w:lang w:val="en-US"/>
              </w:rPr>
              <w:t xml:space="preserve"> chips, datacenters and infrastructure around it</w:t>
            </w:r>
            <w:r>
              <w:rPr>
                <w:rFonts w:ascii="Calibri" w:hAnsi="Calibri" w:cs="Calibri"/>
                <w:sz w:val="16"/>
                <w:szCs w:val="16"/>
                <w:highlight w:val="yellow"/>
                <w:lang w:val="en-US"/>
              </w:rPr>
              <w:t xml:space="preserve"> there was a</w:t>
            </w:r>
            <w:r w:rsidR="007C44D7">
              <w:rPr>
                <w:rFonts w:ascii="Calibri" w:hAnsi="Calibri" w:cs="Calibri"/>
                <w:sz w:val="16"/>
                <w:szCs w:val="16"/>
                <w:highlight w:val="yellow"/>
                <w:lang w:val="en-US"/>
              </w:rPr>
              <w:t xml:space="preserve"> broad tech sell-off </w:t>
            </w:r>
            <w:r>
              <w:rPr>
                <w:rFonts w:ascii="Calibri" w:hAnsi="Calibri" w:cs="Calibri"/>
                <w:sz w:val="16"/>
                <w:szCs w:val="16"/>
                <w:highlight w:val="yellow"/>
                <w:lang w:val="en-US"/>
              </w:rPr>
              <w:t xml:space="preserve">that </w:t>
            </w:r>
            <w:r w:rsidR="007C44D7">
              <w:rPr>
                <w:rFonts w:ascii="Calibri" w:hAnsi="Calibri" w:cs="Calibri"/>
                <w:sz w:val="16"/>
                <w:szCs w:val="16"/>
                <w:highlight w:val="yellow"/>
                <w:lang w:val="en-US"/>
              </w:rPr>
              <w:t xml:space="preserve">affected companies differently. Siemens Energy (-11.1%) was hit by AI valuation revisions; ASML (-17.0%) came </w:t>
            </w:r>
            <w:r w:rsidR="007C44D7" w:rsidRPr="0074051C">
              <w:rPr>
                <w:rFonts w:ascii="Calibri" w:hAnsi="Calibri" w:cs="Calibri"/>
                <w:sz w:val="16"/>
                <w:szCs w:val="16"/>
                <w:highlight w:val="yellow"/>
                <w:lang w:val="en-GB"/>
              </w:rPr>
              <w:t>under pressure and reports of progress in Chinese lithography equipment</w:t>
            </w:r>
            <w:r>
              <w:rPr>
                <w:rFonts w:ascii="Calibri" w:hAnsi="Calibri" w:cs="Calibri"/>
                <w:sz w:val="16"/>
                <w:szCs w:val="16"/>
                <w:highlight w:val="yellow"/>
                <w:lang w:val="en-GB"/>
              </w:rPr>
              <w:t>;</w:t>
            </w:r>
            <w:r w:rsidR="007C44D7">
              <w:rPr>
                <w:rFonts w:ascii="Calibri" w:hAnsi="Calibri" w:cs="Calibri"/>
                <w:sz w:val="16"/>
                <w:szCs w:val="16"/>
                <w:highlight w:val="yellow"/>
                <w:lang w:val="en-GB"/>
              </w:rPr>
              <w:t xml:space="preserve"> ABB (-10.1%) on M&amp;A concerns as the expensive acquisition overshadowed results</w:t>
            </w:r>
            <w:r>
              <w:rPr>
                <w:rFonts w:ascii="Calibri" w:hAnsi="Calibri" w:cs="Calibri"/>
                <w:sz w:val="16"/>
                <w:szCs w:val="16"/>
                <w:highlight w:val="yellow"/>
                <w:lang w:val="en-GB"/>
              </w:rPr>
              <w:t xml:space="preserve">; VAT Group (-15.6%) due to capacity-ramp margin pressure; the weakest performer Nokia (-26%) under pressure due to high restructuring costs and doubts about how quickly AI order translate into profit and profit taking after strong AI order intake. </w:t>
            </w:r>
          </w:p>
          <w:p w14:paraId="44886D63" w14:textId="1F6838CE" w:rsidR="00505BE4" w:rsidRPr="004E1943" w:rsidRDefault="0074051C" w:rsidP="0031111E">
            <w:pPr>
              <w:tabs>
                <w:tab w:val="left" w:pos="6073"/>
              </w:tabs>
              <w:suppressAutoHyphens/>
              <w:spacing w:after="120" w:line="240" w:lineRule="auto"/>
              <w:ind w:left="-74"/>
              <w:jc w:val="both"/>
              <w:rPr>
                <w:rFonts w:ascii="Calibri" w:hAnsi="Calibri" w:cs="Calibri"/>
                <w:sz w:val="16"/>
                <w:szCs w:val="16"/>
                <w:highlight w:val="yellow"/>
                <w:lang w:val="en-GB"/>
              </w:rPr>
            </w:pPr>
            <w:r w:rsidRPr="0074051C">
              <w:rPr>
                <w:rFonts w:ascii="Calibri" w:hAnsi="Calibri" w:cs="Calibri"/>
                <w:sz w:val="16"/>
                <w:szCs w:val="16"/>
                <w:highlight w:val="yellow"/>
                <w:lang w:val="en-GB"/>
              </w:rPr>
              <w:t>Portfolio activity focused on increasing selected positions following market corrections. Inditex and Banco Santander were raised to approximately 5% after good results, while Ericsson was exited and replaced by Nokia.</w:t>
            </w:r>
            <w:r w:rsidR="00822473">
              <w:rPr>
                <w:rFonts w:ascii="Calibri" w:hAnsi="Calibri" w:cs="Calibri"/>
                <w:sz w:val="16"/>
                <w:szCs w:val="16"/>
                <w:highlight w:val="yellow"/>
                <w:lang w:val="en-GB"/>
              </w:rPr>
              <w:t xml:space="preserve"> </w:t>
            </w:r>
            <w:r w:rsidRPr="0074051C">
              <w:rPr>
                <w:rFonts w:ascii="Calibri" w:hAnsi="Calibri" w:cs="Calibri"/>
                <w:sz w:val="16"/>
                <w:szCs w:val="16"/>
                <w:highlight w:val="yellow"/>
                <w:lang w:val="en-GB"/>
              </w:rPr>
              <w:t>The EUR cash position approximately 0.1%.</w:t>
            </w:r>
          </w:p>
        </w:tc>
        <w:tc>
          <w:tcPr>
            <w:tcW w:w="147" w:type="dxa"/>
            <w:tcBorders>
              <w:right w:val="single" w:sz="4" w:space="0" w:color="C00000"/>
            </w:tcBorders>
          </w:tcPr>
          <w:p w14:paraId="40D94C1A" w14:textId="650D5869" w:rsidR="00825411" w:rsidRPr="00336A7D" w:rsidRDefault="00825411">
            <w:pPr>
              <w:jc w:val="center"/>
              <w:rPr>
                <w:b/>
                <w:sz w:val="18"/>
                <w:highlight w:val="yellow"/>
                <w:lang w:val="en-US"/>
              </w:rPr>
            </w:pPr>
          </w:p>
        </w:tc>
        <w:tc>
          <w:tcPr>
            <w:tcW w:w="4522" w:type="dxa"/>
            <w:tcBorders>
              <w:top w:val="single" w:sz="4" w:space="0" w:color="C00000"/>
              <w:bottom w:val="single" w:sz="4" w:space="0" w:color="C00000"/>
              <w:right w:val="single" w:sz="4" w:space="0" w:color="C00000"/>
            </w:tcBorders>
          </w:tcPr>
          <w:p w14:paraId="6B4952D1" w14:textId="77777777" w:rsidR="00825411" w:rsidRPr="007F6E5E" w:rsidRDefault="00825411">
            <w:pPr>
              <w:rPr>
                <w:i/>
                <w:sz w:val="12"/>
                <w:szCs w:val="12"/>
                <w:lang w:val="en-US"/>
              </w:rPr>
            </w:pPr>
          </w:p>
          <w:p w14:paraId="76FAFFCD" w14:textId="57372266" w:rsidR="00825411" w:rsidRPr="00B231E7" w:rsidRDefault="00400365" w:rsidP="00981FE5">
            <w:pPr>
              <w:spacing w:after="0"/>
              <w:ind w:left="101"/>
              <w:rPr>
                <w:i/>
                <w:sz w:val="12"/>
                <w:szCs w:val="12"/>
                <w:lang w:val="en-US"/>
              </w:rPr>
            </w:pPr>
            <w:r w:rsidRPr="00400365">
              <w:rPr>
                <w:i/>
                <w:noProof/>
                <w:sz w:val="12"/>
                <w:szCs w:val="12"/>
                <w:lang w:val="en-US"/>
              </w:rPr>
              <w:drawing>
                <wp:inline distT="0" distB="0" distL="0" distR="0" wp14:anchorId="0FD2787D" wp14:editId="355CFB82">
                  <wp:extent cx="2602486" cy="2609215"/>
                  <wp:effectExtent l="0" t="0" r="7620" b="635"/>
                  <wp:docPr id="122488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88288"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939" r="939"/>
                          <a:stretch>
                            <a:fillRect/>
                          </a:stretch>
                        </pic:blipFill>
                        <pic:spPr bwMode="auto">
                          <a:xfrm>
                            <a:off x="0" y="0"/>
                            <a:ext cx="2602486" cy="2609215"/>
                          </a:xfrm>
                          <a:prstGeom prst="rect">
                            <a:avLst/>
                          </a:prstGeom>
                          <a:noFill/>
                          <a:ln>
                            <a:noFill/>
                          </a:ln>
                          <a:extLst>
                            <a:ext uri="{53640926-AAD7-44D8-BBD7-CCE9431645EC}">
                              <a14:shadowObscured xmlns:a14="http://schemas.microsoft.com/office/drawing/2010/main"/>
                            </a:ext>
                          </a:extLst>
                        </pic:spPr>
                      </pic:pic>
                    </a:graphicData>
                  </a:graphic>
                </wp:inline>
              </w:drawing>
            </w:r>
          </w:p>
          <w:p w14:paraId="2A77F94E" w14:textId="20F07E63" w:rsidR="00390A40" w:rsidRDefault="00981FE5" w:rsidP="00726B3B">
            <w:pPr>
              <w:ind w:left="101" w:firstLine="149"/>
              <w:rPr>
                <w:i/>
                <w:sz w:val="14"/>
                <w:szCs w:val="14"/>
                <w:lang w:val="en-US"/>
              </w:rPr>
            </w:pPr>
            <w:r w:rsidRPr="00981FE5">
              <w:rPr>
                <w:i/>
                <w:sz w:val="14"/>
                <w:szCs w:val="14"/>
                <w:lang w:val="en-US"/>
              </w:rPr>
              <w:t>Current Composition (202</w:t>
            </w:r>
            <w:r w:rsidR="005B0F2F">
              <w:rPr>
                <w:i/>
                <w:sz w:val="14"/>
                <w:szCs w:val="14"/>
                <w:lang w:val="en-US"/>
              </w:rPr>
              <w:t>6</w:t>
            </w:r>
            <w:r w:rsidRPr="00981FE5">
              <w:rPr>
                <w:i/>
                <w:sz w:val="14"/>
                <w:szCs w:val="14"/>
                <w:lang w:val="en-US"/>
              </w:rPr>
              <w:t>)</w:t>
            </w:r>
          </w:p>
          <w:p w14:paraId="1D12D5B3" w14:textId="77777777" w:rsidR="00400365" w:rsidRDefault="00400365" w:rsidP="00726B3B">
            <w:pPr>
              <w:ind w:left="101" w:firstLine="149"/>
              <w:rPr>
                <w:i/>
                <w:sz w:val="14"/>
                <w:szCs w:val="14"/>
                <w:lang w:val="en-US"/>
              </w:rPr>
            </w:pPr>
          </w:p>
          <w:p w14:paraId="726B850E" w14:textId="5051CD02" w:rsidR="00825411" w:rsidRDefault="00601B20" w:rsidP="00981FE5">
            <w:pPr>
              <w:spacing w:after="0"/>
              <w:ind w:left="101"/>
              <w:rPr>
                <w:i/>
                <w:sz w:val="14"/>
                <w:szCs w:val="14"/>
                <w:lang w:val="en-US"/>
              </w:rPr>
            </w:pPr>
            <w:r>
              <w:rPr>
                <w:i/>
                <w:noProof/>
                <w:sz w:val="14"/>
                <w:szCs w:val="14"/>
                <w:lang w:val="en-US"/>
              </w:rPr>
              <w:drawing>
                <wp:inline distT="0" distB="0" distL="0" distR="0" wp14:anchorId="7655408D" wp14:editId="5836967F">
                  <wp:extent cx="2650566" cy="1590340"/>
                  <wp:effectExtent l="0" t="0" r="0" b="0"/>
                  <wp:docPr id="1687481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481489" name="Picture 1"/>
                          <pic:cNvPicPr>
                            <a:picLocks noChangeAspect="1" noChangeArrowheads="1"/>
                          </pic:cNvPicPr>
                        </pic:nvPicPr>
                        <pic:blipFill>
                          <a:blip r:embed="rId8">
                            <a:extLst>
                              <a:ext uri="{96DAC541-7B7A-43D3-8B79-37D633B846F1}">
                                <asvg:svgBlip xmlns:asvg="http://schemas.microsoft.com/office/drawing/2016/SVG/main" r:embed="rId9"/>
                              </a:ext>
                            </a:extLst>
                          </a:blip>
                          <a:stretch>
                            <a:fillRect/>
                          </a:stretch>
                        </pic:blipFill>
                        <pic:spPr bwMode="auto">
                          <a:xfrm>
                            <a:off x="0" y="0"/>
                            <a:ext cx="2650566" cy="1590340"/>
                          </a:xfrm>
                          <a:prstGeom prst="rect">
                            <a:avLst/>
                          </a:prstGeom>
                        </pic:spPr>
                      </pic:pic>
                    </a:graphicData>
                  </a:graphic>
                </wp:inline>
              </w:drawing>
            </w:r>
          </w:p>
          <w:p w14:paraId="21DC6D5D" w14:textId="6FE1809A" w:rsidR="00825411" w:rsidRDefault="00825411" w:rsidP="00726B3B">
            <w:pPr>
              <w:spacing w:after="0"/>
              <w:ind w:left="101" w:firstLine="239"/>
              <w:rPr>
                <w:i/>
                <w:sz w:val="14"/>
                <w:szCs w:val="14"/>
                <w:lang w:val="en-US"/>
              </w:rPr>
            </w:pPr>
            <w:r>
              <w:rPr>
                <w:i/>
                <w:sz w:val="14"/>
                <w:szCs w:val="14"/>
                <w:lang w:val="en-US"/>
              </w:rPr>
              <w:t>Perfo</w:t>
            </w:r>
            <w:r w:rsidR="009A0CDF">
              <w:rPr>
                <w:i/>
                <w:sz w:val="14"/>
                <w:szCs w:val="14"/>
                <w:lang w:val="en-US"/>
              </w:rPr>
              <w:t>r</w:t>
            </w:r>
            <w:r>
              <w:rPr>
                <w:i/>
                <w:sz w:val="14"/>
                <w:szCs w:val="14"/>
                <w:lang w:val="en-US"/>
              </w:rPr>
              <w:t xml:space="preserve">mance </w:t>
            </w:r>
            <w:r w:rsidR="005B0F2F">
              <w:rPr>
                <w:i/>
                <w:sz w:val="14"/>
                <w:szCs w:val="14"/>
                <w:lang w:val="en-US"/>
              </w:rPr>
              <w:t>12m</w:t>
            </w:r>
            <w:r>
              <w:rPr>
                <w:i/>
                <w:sz w:val="14"/>
                <w:szCs w:val="14"/>
                <w:lang w:val="en-US"/>
              </w:rPr>
              <w:t>: Source Bloomberg</w:t>
            </w:r>
          </w:p>
          <w:p w14:paraId="205C4541" w14:textId="5FF603FE" w:rsidR="00825411" w:rsidRPr="00CC2DDF" w:rsidRDefault="00825411" w:rsidP="006E41DC">
            <w:pPr>
              <w:spacing w:after="0"/>
              <w:rPr>
                <w:i/>
                <w:sz w:val="14"/>
                <w:szCs w:val="14"/>
                <w:lang w:val="en-US"/>
              </w:rPr>
            </w:pPr>
          </w:p>
        </w:tc>
      </w:tr>
    </w:tbl>
    <w:p w14:paraId="4CBBF75C" w14:textId="77777777" w:rsidR="00825411" w:rsidRPr="00566A59" w:rsidRDefault="00825411" w:rsidP="00825411">
      <w:pPr>
        <w:pStyle w:val="Heading1"/>
        <w:spacing w:before="0"/>
        <w:rPr>
          <w:rFonts w:asciiTheme="minorHAnsi" w:hAnsiTheme="minorHAnsi"/>
          <w:color w:val="C00000"/>
          <w:sz w:val="24"/>
          <w:lang w:val="en-US"/>
        </w:rPr>
      </w:pPr>
      <w:r w:rsidRPr="00394C4C">
        <w:rPr>
          <w:rFonts w:asciiTheme="minorHAnsi" w:hAnsiTheme="minorHAnsi"/>
          <w:color w:val="C00000"/>
          <w:sz w:val="24"/>
          <w:lang w:val="en-US"/>
        </w:rPr>
        <w:lastRenderedPageBreak/>
        <w:t>Return</w:t>
      </w:r>
    </w:p>
    <w:tbl>
      <w:tblPr>
        <w:tblStyle w:val="TableGrid"/>
        <w:tblW w:w="19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70" w:type="dxa"/>
          <w:right w:w="70" w:type="dxa"/>
        </w:tblCellMar>
        <w:tblLook w:val="04A0" w:firstRow="1" w:lastRow="0" w:firstColumn="1" w:lastColumn="0" w:noHBand="0" w:noVBand="1"/>
      </w:tblPr>
      <w:tblGrid>
        <w:gridCol w:w="9677"/>
        <w:gridCol w:w="10318"/>
      </w:tblGrid>
      <w:tr w:rsidR="00825411" w:rsidRPr="001153A8" w14:paraId="29C38F3D" w14:textId="77777777" w:rsidTr="00E337E2">
        <w:tc>
          <w:tcPr>
            <w:tcW w:w="9677" w:type="dxa"/>
          </w:tcPr>
          <w:tbl>
            <w:tblPr>
              <w:tblStyle w:val="TableGrid"/>
              <w:tblW w:w="9522" w:type="dxa"/>
              <w:tblLayout w:type="fixed"/>
              <w:tblLook w:val="04A0" w:firstRow="1" w:lastRow="0" w:firstColumn="1" w:lastColumn="0" w:noHBand="0" w:noVBand="1"/>
            </w:tblPr>
            <w:tblGrid>
              <w:gridCol w:w="534"/>
              <w:gridCol w:w="767"/>
              <w:gridCol w:w="660"/>
              <w:gridCol w:w="640"/>
              <w:gridCol w:w="650"/>
              <w:gridCol w:w="650"/>
              <w:gridCol w:w="650"/>
              <w:gridCol w:w="650"/>
              <w:gridCol w:w="650"/>
              <w:gridCol w:w="650"/>
              <w:gridCol w:w="650"/>
              <w:gridCol w:w="801"/>
              <w:gridCol w:w="713"/>
              <w:gridCol w:w="857"/>
            </w:tblGrid>
            <w:tr w:rsidR="00825411" w:rsidRPr="00D70A30" w14:paraId="09794058" w14:textId="77777777">
              <w:trPr>
                <w:trHeight w:val="437"/>
              </w:trPr>
              <w:tc>
                <w:tcPr>
                  <w:tcW w:w="534" w:type="dxa"/>
                  <w:shd w:val="clear" w:color="auto" w:fill="D9D9D9" w:themeFill="background1" w:themeFillShade="D9"/>
                  <w:vAlign w:val="center"/>
                </w:tcPr>
                <w:p w14:paraId="620D593D" w14:textId="77777777" w:rsidR="00825411" w:rsidRPr="00D70A30" w:rsidRDefault="00825411">
                  <w:pPr>
                    <w:pStyle w:val="Heading1"/>
                    <w:spacing w:before="0"/>
                    <w:jc w:val="center"/>
                    <w:rPr>
                      <w:rFonts w:asciiTheme="minorHAnsi" w:hAnsiTheme="minorHAnsi"/>
                      <w:color w:val="auto"/>
                      <w:sz w:val="13"/>
                      <w:szCs w:val="13"/>
                      <w:lang w:val="en-US"/>
                    </w:rPr>
                  </w:pPr>
                </w:p>
              </w:tc>
              <w:tc>
                <w:tcPr>
                  <w:tcW w:w="767" w:type="dxa"/>
                  <w:shd w:val="clear" w:color="auto" w:fill="D9D9D9" w:themeFill="background1" w:themeFillShade="D9"/>
                  <w:vAlign w:val="center"/>
                </w:tcPr>
                <w:p w14:paraId="35256AAD" w14:textId="77777777" w:rsidR="00825411" w:rsidRPr="00D70A30" w:rsidRDefault="00825411">
                  <w:pPr>
                    <w:pStyle w:val="Heading1"/>
                    <w:spacing w:before="0"/>
                    <w:jc w:val="center"/>
                    <w:rPr>
                      <w:rFonts w:asciiTheme="minorHAnsi" w:hAnsiTheme="minorHAnsi"/>
                      <w:color w:val="auto"/>
                      <w:sz w:val="13"/>
                      <w:szCs w:val="13"/>
                      <w:lang w:val="en-US"/>
                    </w:rPr>
                  </w:pPr>
                  <w:r w:rsidRPr="00D70A30">
                    <w:rPr>
                      <w:rFonts w:asciiTheme="minorHAnsi" w:hAnsiTheme="minorHAnsi"/>
                      <w:color w:val="auto"/>
                      <w:sz w:val="13"/>
                      <w:szCs w:val="13"/>
                      <w:lang w:val="en-US"/>
                    </w:rPr>
                    <w:t>Jan</w:t>
                  </w:r>
                </w:p>
              </w:tc>
              <w:tc>
                <w:tcPr>
                  <w:tcW w:w="660" w:type="dxa"/>
                  <w:shd w:val="clear" w:color="auto" w:fill="D9D9D9" w:themeFill="background1" w:themeFillShade="D9"/>
                  <w:vAlign w:val="center"/>
                </w:tcPr>
                <w:p w14:paraId="777A4FCD" w14:textId="77777777" w:rsidR="00825411" w:rsidRPr="00D70A30" w:rsidRDefault="00825411">
                  <w:pPr>
                    <w:pStyle w:val="Heading1"/>
                    <w:spacing w:before="0"/>
                    <w:jc w:val="center"/>
                    <w:rPr>
                      <w:rFonts w:asciiTheme="minorHAnsi" w:hAnsiTheme="minorHAnsi"/>
                      <w:color w:val="auto"/>
                      <w:sz w:val="13"/>
                      <w:szCs w:val="13"/>
                      <w:lang w:val="en-US"/>
                    </w:rPr>
                  </w:pPr>
                  <w:r w:rsidRPr="00D70A30">
                    <w:rPr>
                      <w:rFonts w:asciiTheme="minorHAnsi" w:hAnsiTheme="minorHAnsi"/>
                      <w:color w:val="auto"/>
                      <w:sz w:val="13"/>
                      <w:szCs w:val="13"/>
                      <w:lang w:val="en-US"/>
                    </w:rPr>
                    <w:t>Feb</w:t>
                  </w:r>
                </w:p>
              </w:tc>
              <w:tc>
                <w:tcPr>
                  <w:tcW w:w="640" w:type="dxa"/>
                  <w:shd w:val="clear" w:color="auto" w:fill="D9D9D9" w:themeFill="background1" w:themeFillShade="D9"/>
                  <w:vAlign w:val="center"/>
                </w:tcPr>
                <w:p w14:paraId="2A546D53" w14:textId="77777777" w:rsidR="00825411" w:rsidRPr="00D70A30" w:rsidRDefault="00825411">
                  <w:pPr>
                    <w:pStyle w:val="Heading1"/>
                    <w:spacing w:before="0"/>
                    <w:jc w:val="center"/>
                    <w:rPr>
                      <w:rFonts w:asciiTheme="minorHAnsi" w:hAnsiTheme="minorHAnsi"/>
                      <w:color w:val="auto"/>
                      <w:sz w:val="13"/>
                      <w:szCs w:val="13"/>
                      <w:lang w:val="en-US"/>
                    </w:rPr>
                  </w:pPr>
                  <w:r w:rsidRPr="00D70A30">
                    <w:rPr>
                      <w:rFonts w:asciiTheme="minorHAnsi" w:hAnsiTheme="minorHAnsi"/>
                      <w:color w:val="auto"/>
                      <w:sz w:val="13"/>
                      <w:szCs w:val="13"/>
                      <w:lang w:val="en-US"/>
                    </w:rPr>
                    <w:t>Mar</w:t>
                  </w:r>
                </w:p>
              </w:tc>
              <w:tc>
                <w:tcPr>
                  <w:tcW w:w="650" w:type="dxa"/>
                  <w:shd w:val="clear" w:color="auto" w:fill="D9D9D9" w:themeFill="background1" w:themeFillShade="D9"/>
                  <w:vAlign w:val="center"/>
                </w:tcPr>
                <w:p w14:paraId="03F2DAC1" w14:textId="77777777" w:rsidR="00825411" w:rsidRPr="00D70A30" w:rsidRDefault="00825411">
                  <w:pPr>
                    <w:pStyle w:val="Heading1"/>
                    <w:spacing w:before="0"/>
                    <w:jc w:val="center"/>
                    <w:rPr>
                      <w:rFonts w:asciiTheme="minorHAnsi" w:hAnsiTheme="minorHAnsi"/>
                      <w:color w:val="auto"/>
                      <w:sz w:val="13"/>
                      <w:szCs w:val="13"/>
                      <w:lang w:val="en-US"/>
                    </w:rPr>
                  </w:pPr>
                  <w:r w:rsidRPr="00D70A30">
                    <w:rPr>
                      <w:rFonts w:asciiTheme="minorHAnsi" w:hAnsiTheme="minorHAnsi"/>
                      <w:color w:val="auto"/>
                      <w:sz w:val="13"/>
                      <w:szCs w:val="13"/>
                      <w:lang w:val="en-US"/>
                    </w:rPr>
                    <w:t>Apr</w:t>
                  </w:r>
                </w:p>
              </w:tc>
              <w:tc>
                <w:tcPr>
                  <w:tcW w:w="650" w:type="dxa"/>
                  <w:shd w:val="clear" w:color="auto" w:fill="D9D9D9" w:themeFill="background1" w:themeFillShade="D9"/>
                  <w:vAlign w:val="center"/>
                </w:tcPr>
                <w:p w14:paraId="16BECA2D" w14:textId="77777777" w:rsidR="00825411" w:rsidRPr="00D70A30" w:rsidRDefault="00825411">
                  <w:pPr>
                    <w:pStyle w:val="Heading1"/>
                    <w:spacing w:before="0"/>
                    <w:jc w:val="center"/>
                    <w:rPr>
                      <w:rFonts w:asciiTheme="minorHAnsi" w:hAnsiTheme="minorHAnsi"/>
                      <w:color w:val="auto"/>
                      <w:sz w:val="13"/>
                      <w:szCs w:val="13"/>
                      <w:lang w:val="en-US"/>
                    </w:rPr>
                  </w:pPr>
                  <w:r w:rsidRPr="00D70A30">
                    <w:rPr>
                      <w:rFonts w:asciiTheme="minorHAnsi" w:hAnsiTheme="minorHAnsi"/>
                      <w:color w:val="auto"/>
                      <w:sz w:val="13"/>
                      <w:szCs w:val="13"/>
                      <w:lang w:val="en-US"/>
                    </w:rPr>
                    <w:t>May</w:t>
                  </w:r>
                </w:p>
              </w:tc>
              <w:tc>
                <w:tcPr>
                  <w:tcW w:w="650" w:type="dxa"/>
                  <w:shd w:val="clear" w:color="auto" w:fill="D9D9D9" w:themeFill="background1" w:themeFillShade="D9"/>
                  <w:vAlign w:val="center"/>
                </w:tcPr>
                <w:p w14:paraId="305ECC55" w14:textId="77777777" w:rsidR="00825411" w:rsidRPr="00D70A30" w:rsidRDefault="00825411">
                  <w:pPr>
                    <w:pStyle w:val="Heading1"/>
                    <w:spacing w:before="0"/>
                    <w:jc w:val="center"/>
                    <w:rPr>
                      <w:rFonts w:asciiTheme="minorHAnsi" w:hAnsiTheme="minorHAnsi"/>
                      <w:color w:val="auto"/>
                      <w:sz w:val="13"/>
                      <w:szCs w:val="13"/>
                      <w:lang w:val="en-US"/>
                    </w:rPr>
                  </w:pPr>
                  <w:r w:rsidRPr="00D70A30">
                    <w:rPr>
                      <w:rFonts w:asciiTheme="minorHAnsi" w:hAnsiTheme="minorHAnsi"/>
                      <w:color w:val="auto"/>
                      <w:sz w:val="13"/>
                      <w:szCs w:val="13"/>
                      <w:lang w:val="en-US"/>
                    </w:rPr>
                    <w:t>Jun</w:t>
                  </w:r>
                </w:p>
              </w:tc>
              <w:tc>
                <w:tcPr>
                  <w:tcW w:w="650" w:type="dxa"/>
                  <w:shd w:val="clear" w:color="auto" w:fill="D9D9D9" w:themeFill="background1" w:themeFillShade="D9"/>
                  <w:vAlign w:val="center"/>
                </w:tcPr>
                <w:p w14:paraId="3FD1A442" w14:textId="77777777" w:rsidR="00825411" w:rsidRPr="00D70A30" w:rsidRDefault="00825411">
                  <w:pPr>
                    <w:pStyle w:val="Heading1"/>
                    <w:spacing w:before="0"/>
                    <w:jc w:val="center"/>
                    <w:rPr>
                      <w:rFonts w:asciiTheme="minorHAnsi" w:hAnsiTheme="minorHAnsi"/>
                      <w:color w:val="auto"/>
                      <w:sz w:val="13"/>
                      <w:szCs w:val="13"/>
                      <w:lang w:val="en-US"/>
                    </w:rPr>
                  </w:pPr>
                  <w:r w:rsidRPr="00D70A30">
                    <w:rPr>
                      <w:rFonts w:asciiTheme="minorHAnsi" w:hAnsiTheme="minorHAnsi"/>
                      <w:color w:val="auto"/>
                      <w:sz w:val="13"/>
                      <w:szCs w:val="13"/>
                      <w:lang w:val="en-US"/>
                    </w:rPr>
                    <w:t>Jul</w:t>
                  </w:r>
                </w:p>
              </w:tc>
              <w:tc>
                <w:tcPr>
                  <w:tcW w:w="650" w:type="dxa"/>
                  <w:shd w:val="clear" w:color="auto" w:fill="D9D9D9" w:themeFill="background1" w:themeFillShade="D9"/>
                  <w:vAlign w:val="center"/>
                </w:tcPr>
                <w:p w14:paraId="68974779" w14:textId="77777777" w:rsidR="00825411" w:rsidRPr="00D70A30" w:rsidRDefault="00825411">
                  <w:pPr>
                    <w:pStyle w:val="Heading1"/>
                    <w:spacing w:before="0"/>
                    <w:jc w:val="center"/>
                    <w:rPr>
                      <w:rFonts w:asciiTheme="minorHAnsi" w:hAnsiTheme="minorHAnsi"/>
                      <w:color w:val="auto"/>
                      <w:sz w:val="13"/>
                      <w:szCs w:val="13"/>
                      <w:lang w:val="en-US"/>
                    </w:rPr>
                  </w:pPr>
                  <w:r w:rsidRPr="00D70A30">
                    <w:rPr>
                      <w:rFonts w:asciiTheme="minorHAnsi" w:hAnsiTheme="minorHAnsi"/>
                      <w:color w:val="auto"/>
                      <w:sz w:val="13"/>
                      <w:szCs w:val="13"/>
                      <w:lang w:val="en-US"/>
                    </w:rPr>
                    <w:t>Aug</w:t>
                  </w:r>
                </w:p>
              </w:tc>
              <w:tc>
                <w:tcPr>
                  <w:tcW w:w="650" w:type="dxa"/>
                  <w:shd w:val="clear" w:color="auto" w:fill="D9D9D9" w:themeFill="background1" w:themeFillShade="D9"/>
                  <w:vAlign w:val="center"/>
                </w:tcPr>
                <w:p w14:paraId="0E9DE273" w14:textId="77777777" w:rsidR="00825411" w:rsidRPr="00D70A30" w:rsidRDefault="00825411">
                  <w:pPr>
                    <w:pStyle w:val="Heading1"/>
                    <w:spacing w:before="0"/>
                    <w:jc w:val="center"/>
                    <w:rPr>
                      <w:rFonts w:asciiTheme="minorHAnsi" w:hAnsiTheme="minorHAnsi"/>
                      <w:color w:val="auto"/>
                      <w:sz w:val="13"/>
                      <w:szCs w:val="13"/>
                      <w:lang w:val="en-US"/>
                    </w:rPr>
                  </w:pPr>
                  <w:r w:rsidRPr="00D70A30">
                    <w:rPr>
                      <w:rFonts w:asciiTheme="minorHAnsi" w:hAnsiTheme="minorHAnsi"/>
                      <w:color w:val="auto"/>
                      <w:sz w:val="13"/>
                      <w:szCs w:val="13"/>
                      <w:lang w:val="en-US"/>
                    </w:rPr>
                    <w:t>Sep</w:t>
                  </w:r>
                </w:p>
              </w:tc>
              <w:tc>
                <w:tcPr>
                  <w:tcW w:w="650" w:type="dxa"/>
                  <w:shd w:val="clear" w:color="auto" w:fill="D9D9D9" w:themeFill="background1" w:themeFillShade="D9"/>
                  <w:vAlign w:val="center"/>
                </w:tcPr>
                <w:p w14:paraId="5A05020F" w14:textId="77777777" w:rsidR="00825411" w:rsidRPr="00D70A30" w:rsidRDefault="00825411">
                  <w:pPr>
                    <w:pStyle w:val="Heading1"/>
                    <w:spacing w:before="0"/>
                    <w:jc w:val="center"/>
                    <w:rPr>
                      <w:rFonts w:asciiTheme="minorHAnsi" w:hAnsiTheme="minorHAnsi"/>
                      <w:color w:val="auto"/>
                      <w:sz w:val="13"/>
                      <w:szCs w:val="13"/>
                      <w:lang w:val="en-US"/>
                    </w:rPr>
                  </w:pPr>
                  <w:r w:rsidRPr="00D70A30">
                    <w:rPr>
                      <w:rFonts w:asciiTheme="minorHAnsi" w:hAnsiTheme="minorHAnsi"/>
                      <w:color w:val="auto"/>
                      <w:sz w:val="13"/>
                      <w:szCs w:val="13"/>
                      <w:lang w:val="en-US"/>
                    </w:rPr>
                    <w:t>Oct</w:t>
                  </w:r>
                </w:p>
              </w:tc>
              <w:tc>
                <w:tcPr>
                  <w:tcW w:w="801" w:type="dxa"/>
                  <w:shd w:val="clear" w:color="auto" w:fill="D9D9D9" w:themeFill="background1" w:themeFillShade="D9"/>
                  <w:vAlign w:val="center"/>
                </w:tcPr>
                <w:p w14:paraId="0D2CE0B4" w14:textId="77777777" w:rsidR="00825411" w:rsidRPr="00D70A30" w:rsidRDefault="00825411">
                  <w:pPr>
                    <w:pStyle w:val="Heading1"/>
                    <w:spacing w:before="0"/>
                    <w:jc w:val="center"/>
                    <w:rPr>
                      <w:rFonts w:asciiTheme="minorHAnsi" w:hAnsiTheme="minorHAnsi"/>
                      <w:color w:val="auto"/>
                      <w:sz w:val="13"/>
                      <w:szCs w:val="13"/>
                      <w:lang w:val="en-US"/>
                    </w:rPr>
                  </w:pPr>
                  <w:r w:rsidRPr="00D70A30">
                    <w:rPr>
                      <w:rFonts w:asciiTheme="minorHAnsi" w:hAnsiTheme="minorHAnsi"/>
                      <w:color w:val="auto"/>
                      <w:sz w:val="13"/>
                      <w:szCs w:val="13"/>
                      <w:lang w:val="en-US"/>
                    </w:rPr>
                    <w:t>Nov</w:t>
                  </w:r>
                </w:p>
              </w:tc>
              <w:tc>
                <w:tcPr>
                  <w:tcW w:w="713" w:type="dxa"/>
                  <w:shd w:val="clear" w:color="auto" w:fill="D9D9D9" w:themeFill="background1" w:themeFillShade="D9"/>
                  <w:vAlign w:val="center"/>
                </w:tcPr>
                <w:p w14:paraId="0DB51869" w14:textId="77777777" w:rsidR="00825411" w:rsidRPr="00D70A30" w:rsidRDefault="00825411">
                  <w:pPr>
                    <w:pStyle w:val="Heading1"/>
                    <w:spacing w:before="0"/>
                    <w:jc w:val="center"/>
                    <w:rPr>
                      <w:rFonts w:asciiTheme="minorHAnsi" w:hAnsiTheme="minorHAnsi"/>
                      <w:color w:val="auto"/>
                      <w:sz w:val="13"/>
                      <w:szCs w:val="13"/>
                      <w:lang w:val="en-US"/>
                    </w:rPr>
                  </w:pPr>
                  <w:r w:rsidRPr="00D70A30">
                    <w:rPr>
                      <w:rFonts w:asciiTheme="minorHAnsi" w:hAnsiTheme="minorHAnsi"/>
                      <w:color w:val="auto"/>
                      <w:sz w:val="13"/>
                      <w:szCs w:val="13"/>
                      <w:lang w:val="en-US"/>
                    </w:rPr>
                    <w:t>Dec</w:t>
                  </w:r>
                </w:p>
              </w:tc>
              <w:tc>
                <w:tcPr>
                  <w:tcW w:w="857" w:type="dxa"/>
                  <w:shd w:val="clear" w:color="auto" w:fill="D9D9D9" w:themeFill="background1" w:themeFillShade="D9"/>
                  <w:vAlign w:val="center"/>
                </w:tcPr>
                <w:p w14:paraId="77761E67" w14:textId="77777777" w:rsidR="00825411" w:rsidRPr="00D70A30" w:rsidRDefault="00825411">
                  <w:pPr>
                    <w:pStyle w:val="Heading1"/>
                    <w:spacing w:before="0"/>
                    <w:jc w:val="center"/>
                    <w:rPr>
                      <w:rFonts w:asciiTheme="minorHAnsi" w:hAnsiTheme="minorHAnsi"/>
                      <w:color w:val="auto"/>
                      <w:sz w:val="13"/>
                      <w:szCs w:val="13"/>
                      <w:lang w:val="en-US"/>
                    </w:rPr>
                  </w:pPr>
                  <w:r w:rsidRPr="00D70A30">
                    <w:rPr>
                      <w:rFonts w:asciiTheme="minorHAnsi" w:hAnsiTheme="minorHAnsi"/>
                      <w:color w:val="auto"/>
                      <w:sz w:val="13"/>
                      <w:szCs w:val="13"/>
                      <w:lang w:val="en-US"/>
                    </w:rPr>
                    <w:t>YTD</w:t>
                  </w:r>
                </w:p>
              </w:tc>
            </w:tr>
            <w:tr w:rsidR="00825411" w:rsidRPr="00D70A30" w14:paraId="079F822F" w14:textId="77777777">
              <w:trPr>
                <w:trHeight w:val="38"/>
              </w:trPr>
              <w:tc>
                <w:tcPr>
                  <w:tcW w:w="534" w:type="dxa"/>
                  <w:shd w:val="clear" w:color="auto" w:fill="D9D9D9" w:themeFill="background1" w:themeFillShade="D9"/>
                  <w:vAlign w:val="center"/>
                </w:tcPr>
                <w:p w14:paraId="0BA62B3E" w14:textId="77777777" w:rsidR="00825411" w:rsidRPr="00D70A30" w:rsidRDefault="00825411">
                  <w:pPr>
                    <w:pStyle w:val="Heading1"/>
                    <w:spacing w:before="0"/>
                    <w:jc w:val="center"/>
                    <w:rPr>
                      <w:rFonts w:asciiTheme="minorHAnsi" w:hAnsiTheme="minorHAnsi"/>
                      <w:color w:val="auto"/>
                      <w:sz w:val="13"/>
                      <w:szCs w:val="13"/>
                      <w:lang w:val="en-US"/>
                    </w:rPr>
                  </w:pPr>
                  <w:r w:rsidRPr="00D70A30">
                    <w:rPr>
                      <w:rFonts w:asciiTheme="minorHAnsi" w:hAnsiTheme="minorHAnsi"/>
                      <w:color w:val="auto"/>
                      <w:sz w:val="13"/>
                      <w:szCs w:val="13"/>
                      <w:lang w:val="en-US"/>
                    </w:rPr>
                    <w:t>2013</w:t>
                  </w:r>
                </w:p>
              </w:tc>
              <w:tc>
                <w:tcPr>
                  <w:tcW w:w="767" w:type="dxa"/>
                  <w:vAlign w:val="center"/>
                </w:tcPr>
                <w:p w14:paraId="00D590A4" w14:textId="77777777" w:rsidR="00825411" w:rsidRPr="00D70A30" w:rsidRDefault="00825411">
                  <w:pPr>
                    <w:pStyle w:val="Heading1"/>
                    <w:spacing w:before="0"/>
                    <w:jc w:val="center"/>
                    <w:rPr>
                      <w:rFonts w:asciiTheme="minorHAnsi" w:hAnsiTheme="minorHAnsi"/>
                      <w:b w:val="0"/>
                      <w:color w:val="auto"/>
                      <w:sz w:val="13"/>
                      <w:szCs w:val="13"/>
                      <w:lang w:val="en-US"/>
                    </w:rPr>
                  </w:pPr>
                </w:p>
              </w:tc>
              <w:tc>
                <w:tcPr>
                  <w:tcW w:w="660" w:type="dxa"/>
                  <w:vAlign w:val="center"/>
                </w:tcPr>
                <w:p w14:paraId="1C1A9003" w14:textId="77777777" w:rsidR="00825411" w:rsidRPr="00D70A30" w:rsidRDefault="00825411">
                  <w:pPr>
                    <w:pStyle w:val="Heading1"/>
                    <w:spacing w:before="0"/>
                    <w:jc w:val="center"/>
                    <w:rPr>
                      <w:rFonts w:asciiTheme="minorHAnsi" w:hAnsiTheme="minorHAnsi"/>
                      <w:b w:val="0"/>
                      <w:color w:val="auto"/>
                      <w:sz w:val="13"/>
                      <w:szCs w:val="13"/>
                      <w:lang w:val="en-US"/>
                    </w:rPr>
                  </w:pPr>
                </w:p>
              </w:tc>
              <w:tc>
                <w:tcPr>
                  <w:tcW w:w="640" w:type="dxa"/>
                  <w:vAlign w:val="center"/>
                </w:tcPr>
                <w:p w14:paraId="421391EA" w14:textId="77777777" w:rsidR="00825411" w:rsidRPr="00D70A30" w:rsidRDefault="00825411">
                  <w:pPr>
                    <w:pStyle w:val="Heading1"/>
                    <w:spacing w:before="0"/>
                    <w:jc w:val="center"/>
                    <w:rPr>
                      <w:rFonts w:asciiTheme="minorHAnsi" w:hAnsiTheme="minorHAnsi"/>
                      <w:b w:val="0"/>
                      <w:color w:val="auto"/>
                      <w:sz w:val="13"/>
                      <w:szCs w:val="13"/>
                      <w:lang w:val="en-US"/>
                    </w:rPr>
                  </w:pPr>
                </w:p>
              </w:tc>
              <w:tc>
                <w:tcPr>
                  <w:tcW w:w="650" w:type="dxa"/>
                  <w:vAlign w:val="center"/>
                </w:tcPr>
                <w:p w14:paraId="03D1A6A6" w14:textId="77777777" w:rsidR="00825411" w:rsidRPr="00D70A30" w:rsidRDefault="00825411">
                  <w:pPr>
                    <w:pStyle w:val="Heading1"/>
                    <w:spacing w:before="0"/>
                    <w:jc w:val="center"/>
                    <w:rPr>
                      <w:rFonts w:asciiTheme="minorHAnsi" w:hAnsiTheme="minorHAnsi"/>
                      <w:b w:val="0"/>
                      <w:color w:val="auto"/>
                      <w:sz w:val="13"/>
                      <w:szCs w:val="13"/>
                      <w:lang w:val="en-US"/>
                    </w:rPr>
                  </w:pPr>
                </w:p>
              </w:tc>
              <w:tc>
                <w:tcPr>
                  <w:tcW w:w="650" w:type="dxa"/>
                  <w:vAlign w:val="center"/>
                </w:tcPr>
                <w:p w14:paraId="1CF2E800" w14:textId="77777777" w:rsidR="00825411" w:rsidRPr="00D70A30" w:rsidRDefault="00825411">
                  <w:pPr>
                    <w:pStyle w:val="Heading1"/>
                    <w:spacing w:before="0"/>
                    <w:jc w:val="center"/>
                    <w:rPr>
                      <w:rFonts w:asciiTheme="minorHAnsi" w:hAnsiTheme="minorHAnsi"/>
                      <w:b w:val="0"/>
                      <w:color w:val="auto"/>
                      <w:sz w:val="13"/>
                      <w:szCs w:val="13"/>
                      <w:lang w:val="en-US"/>
                    </w:rPr>
                  </w:pPr>
                </w:p>
              </w:tc>
              <w:tc>
                <w:tcPr>
                  <w:tcW w:w="650" w:type="dxa"/>
                  <w:vAlign w:val="center"/>
                </w:tcPr>
                <w:p w14:paraId="2DBB1C98"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-0.45%</w:t>
                  </w:r>
                </w:p>
              </w:tc>
              <w:tc>
                <w:tcPr>
                  <w:tcW w:w="650" w:type="dxa"/>
                  <w:vAlign w:val="center"/>
                </w:tcPr>
                <w:p w14:paraId="7E44CFD4"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3.76%</w:t>
                  </w:r>
                </w:p>
              </w:tc>
              <w:tc>
                <w:tcPr>
                  <w:tcW w:w="650" w:type="dxa"/>
                  <w:vAlign w:val="center"/>
                </w:tcPr>
                <w:p w14:paraId="30E5E556"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-1.26%</w:t>
                  </w:r>
                </w:p>
              </w:tc>
              <w:tc>
                <w:tcPr>
                  <w:tcW w:w="650" w:type="dxa"/>
                  <w:vAlign w:val="center"/>
                </w:tcPr>
                <w:p w14:paraId="7E9BEEAD"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3.13%</w:t>
                  </w:r>
                </w:p>
              </w:tc>
              <w:tc>
                <w:tcPr>
                  <w:tcW w:w="650" w:type="dxa"/>
                  <w:vAlign w:val="center"/>
                </w:tcPr>
                <w:p w14:paraId="3F206C44"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2.37%</w:t>
                  </w:r>
                </w:p>
              </w:tc>
              <w:tc>
                <w:tcPr>
                  <w:tcW w:w="801" w:type="dxa"/>
                  <w:vAlign w:val="center"/>
                </w:tcPr>
                <w:p w14:paraId="59E64BA3"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1.85%</w:t>
                  </w:r>
                </w:p>
              </w:tc>
              <w:tc>
                <w:tcPr>
                  <w:tcW w:w="713" w:type="dxa"/>
                  <w:vAlign w:val="center"/>
                </w:tcPr>
                <w:p w14:paraId="72F08B5F"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-0.45%</w:t>
                  </w:r>
                </w:p>
              </w:tc>
              <w:tc>
                <w:tcPr>
                  <w:tcW w:w="857" w:type="dxa"/>
                  <w:vAlign w:val="center"/>
                </w:tcPr>
                <w:p w14:paraId="111FAF94" w14:textId="77777777" w:rsidR="00825411" w:rsidRPr="00D70A30" w:rsidRDefault="00825411">
                  <w:pPr>
                    <w:pStyle w:val="Heading1"/>
                    <w:spacing w:before="0"/>
                    <w:jc w:val="center"/>
                    <w:rPr>
                      <w:rFonts w:asciiTheme="minorHAnsi" w:hAnsiTheme="minorHAnsi"/>
                      <w:color w:val="auto"/>
                      <w:sz w:val="13"/>
                      <w:szCs w:val="13"/>
                      <w:lang w:val="en-US"/>
                    </w:rPr>
                  </w:pPr>
                  <w:r w:rsidRPr="00D70A30">
                    <w:rPr>
                      <w:rFonts w:asciiTheme="minorHAnsi" w:hAnsiTheme="minorHAnsi"/>
                      <w:color w:val="auto"/>
                      <w:sz w:val="13"/>
                      <w:szCs w:val="13"/>
                      <w:lang w:val="en-US"/>
                    </w:rPr>
                    <w:t>9.18%</w:t>
                  </w:r>
                </w:p>
              </w:tc>
            </w:tr>
            <w:tr w:rsidR="00825411" w:rsidRPr="00D70A30" w14:paraId="134F5427" w14:textId="77777777">
              <w:trPr>
                <w:trHeight w:val="38"/>
              </w:trPr>
              <w:tc>
                <w:tcPr>
                  <w:tcW w:w="534" w:type="dxa"/>
                  <w:shd w:val="clear" w:color="auto" w:fill="D9D9D9" w:themeFill="background1" w:themeFillShade="D9"/>
                  <w:vAlign w:val="center"/>
                </w:tcPr>
                <w:p w14:paraId="0D51E825" w14:textId="77777777" w:rsidR="00825411" w:rsidRPr="00D70A30" w:rsidRDefault="00825411">
                  <w:pPr>
                    <w:pStyle w:val="Heading1"/>
                    <w:spacing w:before="0"/>
                    <w:jc w:val="center"/>
                    <w:rPr>
                      <w:rFonts w:asciiTheme="minorHAnsi" w:hAnsiTheme="minorHAnsi"/>
                      <w:color w:val="auto"/>
                      <w:sz w:val="13"/>
                      <w:szCs w:val="13"/>
                      <w:lang w:val="en-US"/>
                    </w:rPr>
                  </w:pPr>
                  <w:r w:rsidRPr="00D70A30">
                    <w:rPr>
                      <w:rFonts w:asciiTheme="minorHAnsi" w:hAnsiTheme="minorHAnsi"/>
                      <w:color w:val="auto"/>
                      <w:sz w:val="13"/>
                      <w:szCs w:val="13"/>
                      <w:lang w:val="en-US"/>
                    </w:rPr>
                    <w:t>2014</w:t>
                  </w:r>
                </w:p>
              </w:tc>
              <w:tc>
                <w:tcPr>
                  <w:tcW w:w="767" w:type="dxa"/>
                  <w:vAlign w:val="center"/>
                </w:tcPr>
                <w:p w14:paraId="1A438738"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-2.29%</w:t>
                  </w:r>
                </w:p>
              </w:tc>
              <w:tc>
                <w:tcPr>
                  <w:tcW w:w="660" w:type="dxa"/>
                  <w:vAlign w:val="center"/>
                </w:tcPr>
                <w:p w14:paraId="2BA73687"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3.09%</w:t>
                  </w:r>
                </w:p>
              </w:tc>
              <w:tc>
                <w:tcPr>
                  <w:tcW w:w="640" w:type="dxa"/>
                  <w:vAlign w:val="center"/>
                </w:tcPr>
                <w:p w14:paraId="48E3A1F3"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0.73%</w:t>
                  </w:r>
                </w:p>
              </w:tc>
              <w:tc>
                <w:tcPr>
                  <w:tcW w:w="650" w:type="dxa"/>
                  <w:vAlign w:val="center"/>
                </w:tcPr>
                <w:p w14:paraId="5FC8B700"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1.53%</w:t>
                  </w:r>
                </w:p>
              </w:tc>
              <w:tc>
                <w:tcPr>
                  <w:tcW w:w="650" w:type="dxa"/>
                  <w:vAlign w:val="center"/>
                </w:tcPr>
                <w:p w14:paraId="32215F08"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2.66%</w:t>
                  </w:r>
                </w:p>
              </w:tc>
              <w:tc>
                <w:tcPr>
                  <w:tcW w:w="650" w:type="dxa"/>
                  <w:vAlign w:val="center"/>
                </w:tcPr>
                <w:p w14:paraId="45477C30"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0.43%</w:t>
                  </w:r>
                </w:p>
              </w:tc>
              <w:tc>
                <w:tcPr>
                  <w:tcW w:w="650" w:type="dxa"/>
                  <w:vAlign w:val="center"/>
                </w:tcPr>
                <w:p w14:paraId="627425D0"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-1.12%</w:t>
                  </w:r>
                </w:p>
              </w:tc>
              <w:tc>
                <w:tcPr>
                  <w:tcW w:w="650" w:type="dxa"/>
                  <w:vAlign w:val="center"/>
                </w:tcPr>
                <w:p w14:paraId="1CDB7761"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1.13%</w:t>
                  </w:r>
                </w:p>
              </w:tc>
              <w:tc>
                <w:tcPr>
                  <w:tcW w:w="650" w:type="dxa"/>
                  <w:vAlign w:val="center"/>
                </w:tcPr>
                <w:p w14:paraId="2A7F7D69"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0.95%</w:t>
                  </w:r>
                </w:p>
              </w:tc>
              <w:tc>
                <w:tcPr>
                  <w:tcW w:w="650" w:type="dxa"/>
                  <w:vAlign w:val="center"/>
                </w:tcPr>
                <w:p w14:paraId="77FAEF52"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-0.60%</w:t>
                  </w:r>
                </w:p>
              </w:tc>
              <w:tc>
                <w:tcPr>
                  <w:tcW w:w="801" w:type="dxa"/>
                  <w:vAlign w:val="center"/>
                </w:tcPr>
                <w:p w14:paraId="70BC163F"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6.09%</w:t>
                  </w:r>
                </w:p>
              </w:tc>
              <w:tc>
                <w:tcPr>
                  <w:tcW w:w="713" w:type="dxa"/>
                  <w:vAlign w:val="center"/>
                </w:tcPr>
                <w:p w14:paraId="7AAE59A8"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-2.26%</w:t>
                  </w:r>
                </w:p>
              </w:tc>
              <w:tc>
                <w:tcPr>
                  <w:tcW w:w="857" w:type="dxa"/>
                  <w:vAlign w:val="center"/>
                </w:tcPr>
                <w:p w14:paraId="0DB27C18" w14:textId="77777777" w:rsidR="00825411" w:rsidRPr="00D70A30" w:rsidRDefault="00825411">
                  <w:pPr>
                    <w:pStyle w:val="Heading1"/>
                    <w:spacing w:before="0"/>
                    <w:jc w:val="center"/>
                    <w:rPr>
                      <w:rFonts w:asciiTheme="minorHAnsi" w:hAnsiTheme="minorHAnsi"/>
                      <w:color w:val="auto"/>
                      <w:sz w:val="13"/>
                      <w:szCs w:val="13"/>
                      <w:lang w:val="en-US"/>
                    </w:rPr>
                  </w:pPr>
                  <w:r w:rsidRPr="00D70A30">
                    <w:rPr>
                      <w:rFonts w:asciiTheme="minorHAnsi" w:hAnsiTheme="minorHAnsi"/>
                      <w:color w:val="auto"/>
                      <w:sz w:val="13"/>
                      <w:szCs w:val="13"/>
                      <w:lang w:val="en-US"/>
                    </w:rPr>
                    <w:t>10.52%</w:t>
                  </w:r>
                </w:p>
              </w:tc>
            </w:tr>
            <w:tr w:rsidR="00825411" w:rsidRPr="00D70A30" w14:paraId="15BC7246" w14:textId="77777777">
              <w:trPr>
                <w:trHeight w:val="38"/>
              </w:trPr>
              <w:tc>
                <w:tcPr>
                  <w:tcW w:w="534" w:type="dxa"/>
                  <w:shd w:val="clear" w:color="auto" w:fill="D9D9D9" w:themeFill="background1" w:themeFillShade="D9"/>
                  <w:vAlign w:val="center"/>
                </w:tcPr>
                <w:p w14:paraId="655C0ED1" w14:textId="77777777" w:rsidR="00825411" w:rsidRPr="00D70A30" w:rsidRDefault="00825411">
                  <w:pPr>
                    <w:pStyle w:val="Heading1"/>
                    <w:spacing w:before="0"/>
                    <w:jc w:val="center"/>
                    <w:rPr>
                      <w:rFonts w:asciiTheme="minorHAnsi" w:hAnsiTheme="minorHAnsi"/>
                      <w:color w:val="auto"/>
                      <w:sz w:val="13"/>
                      <w:szCs w:val="13"/>
                      <w:lang w:val="en-US"/>
                    </w:rPr>
                  </w:pPr>
                  <w:r w:rsidRPr="00D70A30">
                    <w:rPr>
                      <w:rFonts w:asciiTheme="minorHAnsi" w:hAnsiTheme="minorHAnsi"/>
                      <w:color w:val="auto"/>
                      <w:sz w:val="13"/>
                      <w:szCs w:val="13"/>
                      <w:lang w:val="en-US"/>
                    </w:rPr>
                    <w:t>2015</w:t>
                  </w:r>
                </w:p>
              </w:tc>
              <w:tc>
                <w:tcPr>
                  <w:tcW w:w="767" w:type="dxa"/>
                  <w:vAlign w:val="center"/>
                </w:tcPr>
                <w:p w14:paraId="17B1600A"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7.71%</w:t>
                  </w:r>
                </w:p>
              </w:tc>
              <w:tc>
                <w:tcPr>
                  <w:tcW w:w="660" w:type="dxa"/>
                  <w:vAlign w:val="center"/>
                </w:tcPr>
                <w:p w14:paraId="0ABE19A2"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0.77%</w:t>
                  </w:r>
                </w:p>
              </w:tc>
              <w:tc>
                <w:tcPr>
                  <w:tcW w:w="640" w:type="dxa"/>
                  <w:vAlign w:val="center"/>
                </w:tcPr>
                <w:p w14:paraId="39E9FF98"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5.42%</w:t>
                  </w:r>
                </w:p>
              </w:tc>
              <w:tc>
                <w:tcPr>
                  <w:tcW w:w="650" w:type="dxa"/>
                  <w:vAlign w:val="center"/>
                </w:tcPr>
                <w:p w14:paraId="60FF3658"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2.75%</w:t>
                  </w:r>
                </w:p>
              </w:tc>
              <w:tc>
                <w:tcPr>
                  <w:tcW w:w="650" w:type="dxa"/>
                  <w:vAlign w:val="center"/>
                </w:tcPr>
                <w:p w14:paraId="39D4BCCA"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-1.34%</w:t>
                  </w:r>
                </w:p>
              </w:tc>
              <w:tc>
                <w:tcPr>
                  <w:tcW w:w="650" w:type="dxa"/>
                  <w:vAlign w:val="center"/>
                </w:tcPr>
                <w:p w14:paraId="315B5DA9"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-4.10%</w:t>
                  </w:r>
                </w:p>
              </w:tc>
              <w:tc>
                <w:tcPr>
                  <w:tcW w:w="650" w:type="dxa"/>
                  <w:vAlign w:val="center"/>
                </w:tcPr>
                <w:p w14:paraId="1924F2CA"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3.76%</w:t>
                  </w:r>
                </w:p>
              </w:tc>
              <w:tc>
                <w:tcPr>
                  <w:tcW w:w="650" w:type="dxa"/>
                  <w:vAlign w:val="center"/>
                </w:tcPr>
                <w:p w14:paraId="3982F36B"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-8.30%</w:t>
                  </w:r>
                </w:p>
              </w:tc>
              <w:tc>
                <w:tcPr>
                  <w:tcW w:w="650" w:type="dxa"/>
                  <w:vAlign w:val="center"/>
                </w:tcPr>
                <w:p w14:paraId="6FC12703"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-0.70%</w:t>
                  </w:r>
                </w:p>
              </w:tc>
              <w:tc>
                <w:tcPr>
                  <w:tcW w:w="650" w:type="dxa"/>
                  <w:vAlign w:val="center"/>
                </w:tcPr>
                <w:p w14:paraId="60028171"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3.59%</w:t>
                  </w:r>
                </w:p>
              </w:tc>
              <w:tc>
                <w:tcPr>
                  <w:tcW w:w="801" w:type="dxa"/>
                  <w:vAlign w:val="center"/>
                </w:tcPr>
                <w:p w14:paraId="5B2CC6DB"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1.96%</w:t>
                  </w:r>
                </w:p>
              </w:tc>
              <w:tc>
                <w:tcPr>
                  <w:tcW w:w="713" w:type="dxa"/>
                  <w:vAlign w:val="center"/>
                </w:tcPr>
                <w:p w14:paraId="5FD5B498"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-3.47%</w:t>
                  </w:r>
                </w:p>
              </w:tc>
              <w:tc>
                <w:tcPr>
                  <w:tcW w:w="857" w:type="dxa"/>
                  <w:vAlign w:val="center"/>
                </w:tcPr>
                <w:p w14:paraId="247E20C9" w14:textId="77777777" w:rsidR="00825411" w:rsidRPr="00D70A30" w:rsidRDefault="00825411">
                  <w:pPr>
                    <w:pStyle w:val="Heading1"/>
                    <w:spacing w:before="0"/>
                    <w:jc w:val="center"/>
                    <w:rPr>
                      <w:rFonts w:asciiTheme="minorHAnsi" w:hAnsiTheme="minorHAnsi"/>
                      <w:color w:val="auto"/>
                      <w:sz w:val="13"/>
                      <w:szCs w:val="13"/>
                      <w:lang w:val="en-US"/>
                    </w:rPr>
                  </w:pPr>
                  <w:r w:rsidRPr="00D70A30">
                    <w:rPr>
                      <w:rFonts w:asciiTheme="minorHAnsi" w:hAnsiTheme="minorHAnsi"/>
                      <w:color w:val="auto"/>
                      <w:sz w:val="13"/>
                      <w:szCs w:val="13"/>
                      <w:lang w:val="en-US"/>
                    </w:rPr>
                    <w:t>8.19%</w:t>
                  </w:r>
                </w:p>
              </w:tc>
            </w:tr>
            <w:tr w:rsidR="00825411" w:rsidRPr="00D70A30" w14:paraId="191AEEB6" w14:textId="77777777">
              <w:trPr>
                <w:trHeight w:val="38"/>
              </w:trPr>
              <w:tc>
                <w:tcPr>
                  <w:tcW w:w="534" w:type="dxa"/>
                  <w:shd w:val="clear" w:color="auto" w:fill="D9D9D9" w:themeFill="background1" w:themeFillShade="D9"/>
                  <w:vAlign w:val="center"/>
                </w:tcPr>
                <w:p w14:paraId="7978A431" w14:textId="77777777" w:rsidR="00825411" w:rsidRPr="00D70A30" w:rsidRDefault="00825411">
                  <w:pPr>
                    <w:pStyle w:val="Heading1"/>
                    <w:spacing w:before="0"/>
                    <w:jc w:val="center"/>
                    <w:rPr>
                      <w:rFonts w:asciiTheme="minorHAnsi" w:hAnsiTheme="minorHAnsi"/>
                      <w:color w:val="auto"/>
                      <w:sz w:val="13"/>
                      <w:szCs w:val="13"/>
                      <w:lang w:val="en-US"/>
                    </w:rPr>
                  </w:pPr>
                  <w:r w:rsidRPr="00D70A30">
                    <w:rPr>
                      <w:rFonts w:asciiTheme="minorHAnsi" w:hAnsiTheme="minorHAnsi"/>
                      <w:color w:val="auto"/>
                      <w:sz w:val="13"/>
                      <w:szCs w:val="13"/>
                      <w:lang w:val="en-US"/>
                    </w:rPr>
                    <w:t>2016</w:t>
                  </w:r>
                </w:p>
              </w:tc>
              <w:tc>
                <w:tcPr>
                  <w:tcW w:w="767" w:type="dxa"/>
                  <w:vAlign w:val="center"/>
                </w:tcPr>
                <w:p w14:paraId="243FF7EB"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-4.97%</w:t>
                  </w:r>
                </w:p>
              </w:tc>
              <w:tc>
                <w:tcPr>
                  <w:tcW w:w="660" w:type="dxa"/>
                  <w:vAlign w:val="center"/>
                </w:tcPr>
                <w:p w14:paraId="4516BF9F"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-1.93%</w:t>
                  </w:r>
                </w:p>
              </w:tc>
              <w:tc>
                <w:tcPr>
                  <w:tcW w:w="640" w:type="dxa"/>
                  <w:vAlign w:val="center"/>
                </w:tcPr>
                <w:p w14:paraId="14C21B05"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1.56%</w:t>
                  </w:r>
                </w:p>
              </w:tc>
              <w:tc>
                <w:tcPr>
                  <w:tcW w:w="650" w:type="dxa"/>
                  <w:vAlign w:val="center"/>
                </w:tcPr>
                <w:p w14:paraId="759343A3"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1.94%</w:t>
                  </w:r>
                </w:p>
              </w:tc>
              <w:tc>
                <w:tcPr>
                  <w:tcW w:w="650" w:type="dxa"/>
                  <w:vAlign w:val="center"/>
                </w:tcPr>
                <w:p w14:paraId="2D96C697"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2.69%</w:t>
                  </w:r>
                </w:p>
              </w:tc>
              <w:tc>
                <w:tcPr>
                  <w:tcW w:w="650" w:type="dxa"/>
                  <w:vAlign w:val="center"/>
                </w:tcPr>
                <w:p w14:paraId="0C4D6ACC"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1.36%</w:t>
                  </w:r>
                </w:p>
              </w:tc>
              <w:tc>
                <w:tcPr>
                  <w:tcW w:w="650" w:type="dxa"/>
                  <w:vAlign w:val="center"/>
                </w:tcPr>
                <w:p w14:paraId="1106C2B8"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0.22%</w:t>
                  </w:r>
                </w:p>
              </w:tc>
              <w:tc>
                <w:tcPr>
                  <w:tcW w:w="650" w:type="dxa"/>
                  <w:vAlign w:val="center"/>
                </w:tcPr>
                <w:p w14:paraId="4B68BF92"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-1.65%</w:t>
                  </w:r>
                </w:p>
              </w:tc>
              <w:tc>
                <w:tcPr>
                  <w:tcW w:w="650" w:type="dxa"/>
                  <w:vAlign w:val="center"/>
                </w:tcPr>
                <w:p w14:paraId="0C8A1CC2"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0.46%</w:t>
                  </w:r>
                </w:p>
              </w:tc>
              <w:tc>
                <w:tcPr>
                  <w:tcW w:w="650" w:type="dxa"/>
                  <w:vAlign w:val="center"/>
                </w:tcPr>
                <w:p w14:paraId="297DF45A"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-1.04%</w:t>
                  </w:r>
                </w:p>
              </w:tc>
              <w:tc>
                <w:tcPr>
                  <w:tcW w:w="801" w:type="dxa"/>
                  <w:vAlign w:val="center"/>
                </w:tcPr>
                <w:p w14:paraId="6013EB2C"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-1.31%</w:t>
                  </w:r>
                </w:p>
              </w:tc>
              <w:tc>
                <w:tcPr>
                  <w:tcW w:w="713" w:type="dxa"/>
                  <w:vAlign w:val="center"/>
                </w:tcPr>
                <w:p w14:paraId="7731E5F3"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5.31%</w:t>
                  </w:r>
                </w:p>
              </w:tc>
              <w:tc>
                <w:tcPr>
                  <w:tcW w:w="857" w:type="dxa"/>
                  <w:vAlign w:val="center"/>
                </w:tcPr>
                <w:p w14:paraId="504F9BDB" w14:textId="77777777" w:rsidR="00825411" w:rsidRPr="00D70A30" w:rsidRDefault="00825411">
                  <w:pPr>
                    <w:pStyle w:val="Heading1"/>
                    <w:spacing w:before="0"/>
                    <w:jc w:val="center"/>
                    <w:rPr>
                      <w:rFonts w:asciiTheme="minorHAnsi" w:hAnsiTheme="minorHAnsi"/>
                      <w:color w:val="auto"/>
                      <w:sz w:val="13"/>
                      <w:szCs w:val="13"/>
                      <w:lang w:val="en-US"/>
                    </w:rPr>
                  </w:pPr>
                  <w:r w:rsidRPr="00D70A30">
                    <w:rPr>
                      <w:rFonts w:asciiTheme="minorHAnsi" w:hAnsiTheme="minorHAnsi"/>
                      <w:color w:val="auto"/>
                      <w:sz w:val="13"/>
                      <w:szCs w:val="13"/>
                      <w:lang w:val="en-US"/>
                    </w:rPr>
                    <w:t>2.29%</w:t>
                  </w:r>
                </w:p>
              </w:tc>
            </w:tr>
            <w:tr w:rsidR="00825411" w:rsidRPr="00D70A30" w14:paraId="46E76559" w14:textId="77777777">
              <w:trPr>
                <w:trHeight w:val="38"/>
              </w:trPr>
              <w:tc>
                <w:tcPr>
                  <w:tcW w:w="534" w:type="dxa"/>
                  <w:shd w:val="clear" w:color="auto" w:fill="D9D9D9" w:themeFill="background1" w:themeFillShade="D9"/>
                  <w:vAlign w:val="center"/>
                </w:tcPr>
                <w:p w14:paraId="394480E7" w14:textId="77777777" w:rsidR="00825411" w:rsidRPr="00D70A30" w:rsidRDefault="00825411">
                  <w:pPr>
                    <w:pStyle w:val="Heading1"/>
                    <w:spacing w:before="0"/>
                    <w:jc w:val="center"/>
                    <w:rPr>
                      <w:rFonts w:asciiTheme="minorHAnsi" w:hAnsiTheme="minorHAnsi"/>
                      <w:color w:val="auto"/>
                      <w:sz w:val="13"/>
                      <w:szCs w:val="13"/>
                      <w:lang w:val="en-US"/>
                    </w:rPr>
                  </w:pPr>
                  <w:r w:rsidRPr="00D70A30">
                    <w:rPr>
                      <w:rFonts w:asciiTheme="minorHAnsi" w:hAnsiTheme="minorHAnsi"/>
                      <w:color w:val="auto"/>
                      <w:sz w:val="13"/>
                      <w:szCs w:val="13"/>
                      <w:lang w:val="en-US"/>
                    </w:rPr>
                    <w:t>2017</w:t>
                  </w:r>
                </w:p>
              </w:tc>
              <w:tc>
                <w:tcPr>
                  <w:tcW w:w="767" w:type="dxa"/>
                  <w:vAlign w:val="center"/>
                </w:tcPr>
                <w:p w14:paraId="1411EE05"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-0.31%</w:t>
                  </w:r>
                </w:p>
              </w:tc>
              <w:tc>
                <w:tcPr>
                  <w:tcW w:w="660" w:type="dxa"/>
                  <w:vAlign w:val="center"/>
                </w:tcPr>
                <w:p w14:paraId="0EE4EFF7"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2.65%</w:t>
                  </w:r>
                </w:p>
              </w:tc>
              <w:tc>
                <w:tcPr>
                  <w:tcW w:w="640" w:type="dxa"/>
                  <w:vAlign w:val="center"/>
                </w:tcPr>
                <w:p w14:paraId="7FD68868"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2.99%</w:t>
                  </w:r>
                </w:p>
              </w:tc>
              <w:tc>
                <w:tcPr>
                  <w:tcW w:w="650" w:type="dxa"/>
                  <w:vAlign w:val="center"/>
                </w:tcPr>
                <w:p w14:paraId="643BE807"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0.94%</w:t>
                  </w:r>
                </w:p>
              </w:tc>
              <w:tc>
                <w:tcPr>
                  <w:tcW w:w="650" w:type="dxa"/>
                  <w:vAlign w:val="center"/>
                </w:tcPr>
                <w:p w14:paraId="69414442"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1.65%</w:t>
                  </w:r>
                </w:p>
              </w:tc>
              <w:tc>
                <w:tcPr>
                  <w:tcW w:w="650" w:type="dxa"/>
                  <w:vAlign w:val="center"/>
                </w:tcPr>
                <w:p w14:paraId="07E49184"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-2.27%</w:t>
                  </w:r>
                </w:p>
              </w:tc>
              <w:tc>
                <w:tcPr>
                  <w:tcW w:w="650" w:type="dxa"/>
                  <w:vAlign w:val="center"/>
                </w:tcPr>
                <w:p w14:paraId="66AF19E4"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-1.10%</w:t>
                  </w:r>
                </w:p>
              </w:tc>
              <w:tc>
                <w:tcPr>
                  <w:tcW w:w="650" w:type="dxa"/>
                  <w:vAlign w:val="center"/>
                </w:tcPr>
                <w:p w14:paraId="66812EB8"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0.06%</w:t>
                  </w:r>
                </w:p>
              </w:tc>
              <w:tc>
                <w:tcPr>
                  <w:tcW w:w="650" w:type="dxa"/>
                  <w:vAlign w:val="center"/>
                </w:tcPr>
                <w:p w14:paraId="04EA4275"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1.39%</w:t>
                  </w:r>
                </w:p>
              </w:tc>
              <w:tc>
                <w:tcPr>
                  <w:tcW w:w="650" w:type="dxa"/>
                  <w:vAlign w:val="center"/>
                </w:tcPr>
                <w:p w14:paraId="2A042E6A"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2.23%</w:t>
                  </w:r>
                </w:p>
              </w:tc>
              <w:tc>
                <w:tcPr>
                  <w:tcW w:w="801" w:type="dxa"/>
                  <w:vAlign w:val="center"/>
                </w:tcPr>
                <w:p w14:paraId="7D755CEA"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0.23%</w:t>
                  </w:r>
                </w:p>
              </w:tc>
              <w:tc>
                <w:tcPr>
                  <w:tcW w:w="713" w:type="dxa"/>
                  <w:vAlign w:val="center"/>
                </w:tcPr>
                <w:p w14:paraId="1A7A76FE"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-0.56%</w:t>
                  </w:r>
                </w:p>
              </w:tc>
              <w:tc>
                <w:tcPr>
                  <w:tcW w:w="857" w:type="dxa"/>
                  <w:vAlign w:val="center"/>
                </w:tcPr>
                <w:p w14:paraId="6733BD05" w14:textId="77777777" w:rsidR="00825411" w:rsidRPr="00D70A30" w:rsidRDefault="00825411">
                  <w:pPr>
                    <w:pStyle w:val="Heading1"/>
                    <w:spacing w:before="0"/>
                    <w:jc w:val="center"/>
                    <w:rPr>
                      <w:rFonts w:asciiTheme="minorHAnsi" w:hAnsiTheme="minorHAnsi"/>
                      <w:color w:val="auto"/>
                      <w:sz w:val="13"/>
                      <w:szCs w:val="13"/>
                      <w:lang w:val="en-US"/>
                    </w:rPr>
                  </w:pPr>
                  <w:r w:rsidRPr="00D70A30">
                    <w:rPr>
                      <w:rFonts w:asciiTheme="minorHAnsi" w:hAnsiTheme="minorHAnsi"/>
                      <w:color w:val="auto"/>
                      <w:sz w:val="13"/>
                      <w:szCs w:val="13"/>
                      <w:lang w:val="en-US"/>
                    </w:rPr>
                    <w:t>8.03%</w:t>
                  </w:r>
                </w:p>
              </w:tc>
            </w:tr>
            <w:tr w:rsidR="00825411" w:rsidRPr="00D70A30" w14:paraId="3A5E451F" w14:textId="77777777">
              <w:trPr>
                <w:trHeight w:val="38"/>
              </w:trPr>
              <w:tc>
                <w:tcPr>
                  <w:tcW w:w="534" w:type="dxa"/>
                  <w:shd w:val="clear" w:color="auto" w:fill="D9D9D9" w:themeFill="background1" w:themeFillShade="D9"/>
                  <w:vAlign w:val="center"/>
                </w:tcPr>
                <w:p w14:paraId="3627DCD3" w14:textId="77777777" w:rsidR="00825411" w:rsidRPr="00D70A30" w:rsidRDefault="00825411">
                  <w:pPr>
                    <w:pStyle w:val="Heading1"/>
                    <w:spacing w:before="0"/>
                    <w:jc w:val="center"/>
                    <w:rPr>
                      <w:rFonts w:asciiTheme="minorHAnsi" w:hAnsiTheme="minorHAnsi"/>
                      <w:color w:val="auto"/>
                      <w:sz w:val="13"/>
                      <w:szCs w:val="13"/>
                      <w:lang w:val="en-US"/>
                    </w:rPr>
                  </w:pPr>
                  <w:r w:rsidRPr="00D70A30">
                    <w:rPr>
                      <w:rFonts w:asciiTheme="minorHAnsi" w:hAnsiTheme="minorHAnsi"/>
                      <w:color w:val="auto"/>
                      <w:sz w:val="13"/>
                      <w:szCs w:val="13"/>
                      <w:lang w:val="en-US"/>
                    </w:rPr>
                    <w:t>2018</w:t>
                  </w:r>
                </w:p>
              </w:tc>
              <w:tc>
                <w:tcPr>
                  <w:tcW w:w="767" w:type="dxa"/>
                  <w:vAlign w:val="center"/>
                </w:tcPr>
                <w:p w14:paraId="324F6E29"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0.53%</w:t>
                  </w:r>
                </w:p>
              </w:tc>
              <w:tc>
                <w:tcPr>
                  <w:tcW w:w="660" w:type="dxa"/>
                  <w:vAlign w:val="center"/>
                </w:tcPr>
                <w:p w14:paraId="2C41D6C4"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-2.94%</w:t>
                  </w:r>
                </w:p>
              </w:tc>
              <w:tc>
                <w:tcPr>
                  <w:tcW w:w="640" w:type="dxa"/>
                  <w:vAlign w:val="center"/>
                </w:tcPr>
                <w:p w14:paraId="74D8D5B2"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-1.78%</w:t>
                  </w:r>
                </w:p>
              </w:tc>
              <w:tc>
                <w:tcPr>
                  <w:tcW w:w="650" w:type="dxa"/>
                  <w:vAlign w:val="center"/>
                </w:tcPr>
                <w:p w14:paraId="3D8B0C38"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3.40%</w:t>
                  </w:r>
                </w:p>
              </w:tc>
              <w:tc>
                <w:tcPr>
                  <w:tcW w:w="650" w:type="dxa"/>
                  <w:vAlign w:val="center"/>
                </w:tcPr>
                <w:p w14:paraId="1A60923E"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-0.54%</w:t>
                  </w:r>
                </w:p>
              </w:tc>
              <w:tc>
                <w:tcPr>
                  <w:tcW w:w="650" w:type="dxa"/>
                  <w:vAlign w:val="center"/>
                </w:tcPr>
                <w:p w14:paraId="05D71C75"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-0.22%</w:t>
                  </w:r>
                </w:p>
              </w:tc>
              <w:tc>
                <w:tcPr>
                  <w:tcW w:w="650" w:type="dxa"/>
                  <w:vAlign w:val="center"/>
                </w:tcPr>
                <w:p w14:paraId="286B765E"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4.12%</w:t>
                  </w:r>
                </w:p>
              </w:tc>
              <w:tc>
                <w:tcPr>
                  <w:tcW w:w="650" w:type="dxa"/>
                  <w:vAlign w:val="center"/>
                </w:tcPr>
                <w:p w14:paraId="3DA8C106"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0.10%</w:t>
                  </w:r>
                </w:p>
              </w:tc>
              <w:tc>
                <w:tcPr>
                  <w:tcW w:w="650" w:type="dxa"/>
                  <w:vAlign w:val="center"/>
                </w:tcPr>
                <w:p w14:paraId="0E01EAF5"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0.30%</w:t>
                  </w:r>
                </w:p>
              </w:tc>
              <w:tc>
                <w:tcPr>
                  <w:tcW w:w="650" w:type="dxa"/>
                  <w:vAlign w:val="center"/>
                </w:tcPr>
                <w:p w14:paraId="7A9F826E"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-6.18%</w:t>
                  </w:r>
                </w:p>
              </w:tc>
              <w:tc>
                <w:tcPr>
                  <w:tcW w:w="801" w:type="dxa"/>
                  <w:vAlign w:val="center"/>
                </w:tcPr>
                <w:p w14:paraId="545BB676"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-0.31%</w:t>
                  </w:r>
                </w:p>
              </w:tc>
              <w:tc>
                <w:tcPr>
                  <w:tcW w:w="713" w:type="dxa"/>
                  <w:vAlign w:val="center"/>
                </w:tcPr>
                <w:p w14:paraId="5D73BA7C"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-8.12%</w:t>
                  </w:r>
                </w:p>
              </w:tc>
              <w:tc>
                <w:tcPr>
                  <w:tcW w:w="857" w:type="dxa"/>
                  <w:vAlign w:val="center"/>
                </w:tcPr>
                <w:p w14:paraId="3BC61D49" w14:textId="77777777" w:rsidR="00825411" w:rsidRPr="00D70A30" w:rsidRDefault="00825411">
                  <w:pPr>
                    <w:pStyle w:val="Heading1"/>
                    <w:spacing w:before="0"/>
                    <w:jc w:val="center"/>
                    <w:rPr>
                      <w:rFonts w:asciiTheme="minorHAnsi" w:hAnsiTheme="minorHAnsi"/>
                      <w:color w:val="auto"/>
                      <w:sz w:val="13"/>
                      <w:szCs w:val="13"/>
                      <w:lang w:val="en-US"/>
                    </w:rPr>
                  </w:pPr>
                  <w:r w:rsidRPr="00D70A30">
                    <w:rPr>
                      <w:rFonts w:asciiTheme="minorHAnsi" w:hAnsiTheme="minorHAnsi"/>
                      <w:color w:val="auto"/>
                      <w:sz w:val="13"/>
                      <w:szCs w:val="13"/>
                      <w:lang w:val="en-US"/>
                    </w:rPr>
                    <w:t>-12.91%</w:t>
                  </w:r>
                </w:p>
              </w:tc>
            </w:tr>
            <w:tr w:rsidR="00825411" w:rsidRPr="00D70A30" w14:paraId="59FBA48C" w14:textId="77777777">
              <w:trPr>
                <w:trHeight w:val="38"/>
              </w:trPr>
              <w:tc>
                <w:tcPr>
                  <w:tcW w:w="534" w:type="dxa"/>
                  <w:shd w:val="clear" w:color="auto" w:fill="D9D9D9" w:themeFill="background1" w:themeFillShade="D9"/>
                  <w:vAlign w:val="center"/>
                </w:tcPr>
                <w:p w14:paraId="4D8E9AAA" w14:textId="77777777" w:rsidR="00825411" w:rsidRPr="00D70A30" w:rsidRDefault="00825411">
                  <w:pPr>
                    <w:pStyle w:val="Heading1"/>
                    <w:spacing w:before="0"/>
                    <w:jc w:val="center"/>
                    <w:rPr>
                      <w:rFonts w:asciiTheme="minorHAnsi" w:hAnsiTheme="minorHAnsi"/>
                      <w:color w:val="auto"/>
                      <w:sz w:val="13"/>
                      <w:szCs w:val="13"/>
                      <w:lang w:val="en-US"/>
                    </w:rPr>
                  </w:pPr>
                  <w:r w:rsidRPr="00D70A30">
                    <w:rPr>
                      <w:rFonts w:asciiTheme="minorHAnsi" w:hAnsiTheme="minorHAnsi"/>
                      <w:color w:val="auto"/>
                      <w:sz w:val="13"/>
                      <w:szCs w:val="13"/>
                      <w:lang w:val="en-US"/>
                    </w:rPr>
                    <w:t>2019</w:t>
                  </w:r>
                </w:p>
              </w:tc>
              <w:tc>
                <w:tcPr>
                  <w:tcW w:w="767" w:type="dxa"/>
                  <w:vAlign w:val="center"/>
                </w:tcPr>
                <w:p w14:paraId="72D054E1"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6.88%</w:t>
                  </w:r>
                </w:p>
              </w:tc>
              <w:tc>
                <w:tcPr>
                  <w:tcW w:w="660" w:type="dxa"/>
                  <w:vAlign w:val="center"/>
                </w:tcPr>
                <w:p w14:paraId="3D5535DF"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5.52%</w:t>
                  </w:r>
                </w:p>
              </w:tc>
              <w:tc>
                <w:tcPr>
                  <w:tcW w:w="640" w:type="dxa"/>
                  <w:vAlign w:val="center"/>
                </w:tcPr>
                <w:p w14:paraId="090088DA"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2.43%</w:t>
                  </w:r>
                </w:p>
              </w:tc>
              <w:tc>
                <w:tcPr>
                  <w:tcW w:w="650" w:type="dxa"/>
                  <w:vAlign w:val="center"/>
                </w:tcPr>
                <w:p w14:paraId="748EC8B1"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2.52%</w:t>
                  </w:r>
                </w:p>
              </w:tc>
              <w:tc>
                <w:tcPr>
                  <w:tcW w:w="650" w:type="dxa"/>
                  <w:vAlign w:val="center"/>
                </w:tcPr>
                <w:p w14:paraId="24B622AB"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-3.48%</w:t>
                  </w:r>
                </w:p>
              </w:tc>
              <w:tc>
                <w:tcPr>
                  <w:tcW w:w="650" w:type="dxa"/>
                  <w:vAlign w:val="center"/>
                </w:tcPr>
                <w:p w14:paraId="7A5CB10A"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2.06%</w:t>
                  </w:r>
                </w:p>
              </w:tc>
              <w:tc>
                <w:tcPr>
                  <w:tcW w:w="650" w:type="dxa"/>
                  <w:vAlign w:val="center"/>
                </w:tcPr>
                <w:p w14:paraId="5100D24E"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0.51%</w:t>
                  </w:r>
                </w:p>
              </w:tc>
              <w:tc>
                <w:tcPr>
                  <w:tcW w:w="650" w:type="dxa"/>
                  <w:vAlign w:val="center"/>
                </w:tcPr>
                <w:p w14:paraId="2790D5FA"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0.41%</w:t>
                  </w:r>
                </w:p>
              </w:tc>
              <w:tc>
                <w:tcPr>
                  <w:tcW w:w="650" w:type="dxa"/>
                  <w:vAlign w:val="center"/>
                </w:tcPr>
                <w:p w14:paraId="7A6D90EA"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1.15%</w:t>
                  </w:r>
                </w:p>
              </w:tc>
              <w:tc>
                <w:tcPr>
                  <w:tcW w:w="650" w:type="dxa"/>
                  <w:vAlign w:val="center"/>
                </w:tcPr>
                <w:p w14:paraId="585D4A95"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-0.27%</w:t>
                  </w:r>
                </w:p>
              </w:tc>
              <w:tc>
                <w:tcPr>
                  <w:tcW w:w="801" w:type="dxa"/>
                  <w:vAlign w:val="center"/>
                </w:tcPr>
                <w:p w14:paraId="0E030D6C"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0.67%</w:t>
                  </w:r>
                </w:p>
              </w:tc>
              <w:tc>
                <w:tcPr>
                  <w:tcW w:w="713" w:type="dxa"/>
                  <w:vAlign w:val="center"/>
                </w:tcPr>
                <w:p w14:paraId="2626B32A"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0.22%</w:t>
                  </w:r>
                </w:p>
              </w:tc>
              <w:tc>
                <w:tcPr>
                  <w:tcW w:w="857" w:type="dxa"/>
                  <w:vAlign w:val="center"/>
                </w:tcPr>
                <w:p w14:paraId="35B41E50" w14:textId="77777777" w:rsidR="00825411" w:rsidRPr="00D70A30" w:rsidRDefault="00825411">
                  <w:pPr>
                    <w:pStyle w:val="Heading1"/>
                    <w:spacing w:before="0"/>
                    <w:jc w:val="center"/>
                    <w:rPr>
                      <w:rFonts w:asciiTheme="minorHAnsi" w:hAnsiTheme="minorHAnsi"/>
                      <w:color w:val="auto"/>
                      <w:sz w:val="13"/>
                      <w:szCs w:val="13"/>
                      <w:lang w:val="en-US"/>
                    </w:rPr>
                  </w:pPr>
                  <w:r w:rsidRPr="00D70A30">
                    <w:rPr>
                      <w:rFonts w:asciiTheme="minorHAnsi" w:hAnsiTheme="minorHAnsi"/>
                      <w:color w:val="auto"/>
                      <w:sz w:val="13"/>
                      <w:szCs w:val="13"/>
                      <w:lang w:val="en-US"/>
                    </w:rPr>
                    <w:t>19.79%</w:t>
                  </w:r>
                </w:p>
              </w:tc>
            </w:tr>
            <w:tr w:rsidR="00825411" w:rsidRPr="00D70A30" w14:paraId="23444BE7" w14:textId="77777777">
              <w:trPr>
                <w:trHeight w:val="38"/>
              </w:trPr>
              <w:tc>
                <w:tcPr>
                  <w:tcW w:w="534" w:type="dxa"/>
                  <w:shd w:val="clear" w:color="auto" w:fill="D9D9D9" w:themeFill="background1" w:themeFillShade="D9"/>
                  <w:vAlign w:val="center"/>
                </w:tcPr>
                <w:p w14:paraId="25E4859F" w14:textId="77777777" w:rsidR="00825411" w:rsidRPr="00D70A30" w:rsidRDefault="00825411">
                  <w:pPr>
                    <w:pStyle w:val="Heading1"/>
                    <w:spacing w:before="0"/>
                    <w:jc w:val="center"/>
                    <w:rPr>
                      <w:rFonts w:asciiTheme="minorHAnsi" w:hAnsiTheme="minorHAnsi"/>
                      <w:color w:val="auto"/>
                      <w:sz w:val="13"/>
                      <w:szCs w:val="13"/>
                      <w:lang w:val="en-US"/>
                    </w:rPr>
                  </w:pPr>
                  <w:r w:rsidRPr="00D70A30">
                    <w:rPr>
                      <w:rFonts w:asciiTheme="minorHAnsi" w:hAnsiTheme="minorHAnsi"/>
                      <w:color w:val="auto"/>
                      <w:sz w:val="13"/>
                      <w:szCs w:val="13"/>
                      <w:lang w:val="en-US"/>
                    </w:rPr>
                    <w:t>2020</w:t>
                  </w:r>
                </w:p>
              </w:tc>
              <w:tc>
                <w:tcPr>
                  <w:tcW w:w="767" w:type="dxa"/>
                  <w:vAlign w:val="center"/>
                </w:tcPr>
                <w:p w14:paraId="4AE6FAC7"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-0.33%</w:t>
                  </w:r>
                </w:p>
              </w:tc>
              <w:tc>
                <w:tcPr>
                  <w:tcW w:w="660" w:type="dxa"/>
                  <w:vAlign w:val="center"/>
                </w:tcPr>
                <w:p w14:paraId="1A2F9237"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-8.12%</w:t>
                  </w:r>
                </w:p>
              </w:tc>
              <w:tc>
                <w:tcPr>
                  <w:tcW w:w="640" w:type="dxa"/>
                  <w:vAlign w:val="center"/>
                </w:tcPr>
                <w:p w14:paraId="2E090D5E"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-10.0%</w:t>
                  </w:r>
                </w:p>
              </w:tc>
              <w:tc>
                <w:tcPr>
                  <w:tcW w:w="650" w:type="dxa"/>
                  <w:vAlign w:val="center"/>
                </w:tcPr>
                <w:p w14:paraId="2C528A45"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4.75%</w:t>
                  </w:r>
                </w:p>
              </w:tc>
              <w:tc>
                <w:tcPr>
                  <w:tcW w:w="650" w:type="dxa"/>
                  <w:vAlign w:val="center"/>
                </w:tcPr>
                <w:p w14:paraId="758F389A"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3.00%</w:t>
                  </w:r>
                </w:p>
              </w:tc>
              <w:tc>
                <w:tcPr>
                  <w:tcW w:w="650" w:type="dxa"/>
                  <w:vAlign w:val="center"/>
                </w:tcPr>
                <w:p w14:paraId="127B6D59"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4.63%</w:t>
                  </w:r>
                </w:p>
              </w:tc>
              <w:tc>
                <w:tcPr>
                  <w:tcW w:w="650" w:type="dxa"/>
                  <w:vAlign w:val="center"/>
                </w:tcPr>
                <w:p w14:paraId="241EBD7C"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-1.07%</w:t>
                  </w:r>
                </w:p>
              </w:tc>
              <w:tc>
                <w:tcPr>
                  <w:tcW w:w="650" w:type="dxa"/>
                  <w:vAlign w:val="center"/>
                </w:tcPr>
                <w:p w14:paraId="4A5802D5"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5.55%</w:t>
                  </w:r>
                </w:p>
              </w:tc>
              <w:tc>
                <w:tcPr>
                  <w:tcW w:w="650" w:type="dxa"/>
                  <w:vAlign w:val="center"/>
                </w:tcPr>
                <w:p w14:paraId="2D71757B"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-1.78%</w:t>
                  </w:r>
                </w:p>
              </w:tc>
              <w:tc>
                <w:tcPr>
                  <w:tcW w:w="650" w:type="dxa"/>
                  <w:vAlign w:val="center"/>
                </w:tcPr>
                <w:p w14:paraId="74B4A9D3"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-6.40%</w:t>
                  </w:r>
                </w:p>
              </w:tc>
              <w:tc>
                <w:tcPr>
                  <w:tcW w:w="801" w:type="dxa"/>
                  <w:vAlign w:val="center"/>
                </w:tcPr>
                <w:p w14:paraId="51E4020E"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13.6%</w:t>
                  </w:r>
                </w:p>
              </w:tc>
              <w:tc>
                <w:tcPr>
                  <w:tcW w:w="713" w:type="dxa"/>
                  <w:vAlign w:val="center"/>
                </w:tcPr>
                <w:p w14:paraId="332FBD69"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0.98%</w:t>
                  </w:r>
                </w:p>
              </w:tc>
              <w:tc>
                <w:tcPr>
                  <w:tcW w:w="857" w:type="dxa"/>
                  <w:vAlign w:val="center"/>
                </w:tcPr>
                <w:p w14:paraId="49823551" w14:textId="77777777" w:rsidR="00825411" w:rsidRPr="00D70A30" w:rsidRDefault="00825411">
                  <w:pPr>
                    <w:pStyle w:val="Heading1"/>
                    <w:spacing w:before="0"/>
                    <w:jc w:val="center"/>
                    <w:rPr>
                      <w:rFonts w:asciiTheme="minorHAnsi" w:hAnsiTheme="minorHAnsi"/>
                      <w:color w:val="auto"/>
                      <w:sz w:val="13"/>
                      <w:szCs w:val="13"/>
                      <w:lang w:val="en-US"/>
                    </w:rPr>
                  </w:pPr>
                  <w:r w:rsidRPr="00D70A30">
                    <w:rPr>
                      <w:rFonts w:asciiTheme="minorHAnsi" w:hAnsiTheme="minorHAnsi"/>
                      <w:color w:val="auto"/>
                      <w:sz w:val="13"/>
                      <w:szCs w:val="13"/>
                      <w:lang w:val="en-US"/>
                    </w:rPr>
                    <w:t>2.39%</w:t>
                  </w:r>
                </w:p>
              </w:tc>
            </w:tr>
            <w:tr w:rsidR="00825411" w:rsidRPr="00D70A30" w14:paraId="4BF4E8C2" w14:textId="77777777">
              <w:trPr>
                <w:trHeight w:val="38"/>
              </w:trPr>
              <w:tc>
                <w:tcPr>
                  <w:tcW w:w="534" w:type="dxa"/>
                  <w:shd w:val="clear" w:color="auto" w:fill="D9D9D9" w:themeFill="background1" w:themeFillShade="D9"/>
                  <w:vAlign w:val="center"/>
                </w:tcPr>
                <w:p w14:paraId="0E20B0D7" w14:textId="77777777" w:rsidR="00825411" w:rsidRPr="00D70A30" w:rsidRDefault="00825411">
                  <w:pPr>
                    <w:pStyle w:val="Heading1"/>
                    <w:spacing w:before="0"/>
                    <w:jc w:val="center"/>
                    <w:rPr>
                      <w:rFonts w:asciiTheme="minorHAnsi" w:hAnsiTheme="minorHAnsi"/>
                      <w:color w:val="auto"/>
                      <w:sz w:val="13"/>
                      <w:szCs w:val="13"/>
                      <w:lang w:val="en-US"/>
                    </w:rPr>
                  </w:pPr>
                  <w:r w:rsidRPr="00D70A30">
                    <w:rPr>
                      <w:rFonts w:asciiTheme="minorHAnsi" w:hAnsiTheme="minorHAnsi"/>
                      <w:color w:val="auto"/>
                      <w:sz w:val="13"/>
                      <w:szCs w:val="13"/>
                      <w:lang w:val="en-US"/>
                    </w:rPr>
                    <w:t>2021</w:t>
                  </w:r>
                </w:p>
              </w:tc>
              <w:tc>
                <w:tcPr>
                  <w:tcW w:w="767" w:type="dxa"/>
                  <w:vAlign w:val="center"/>
                </w:tcPr>
                <w:p w14:paraId="172CEC5E"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0.91%</w:t>
                  </w:r>
                </w:p>
              </w:tc>
              <w:tc>
                <w:tcPr>
                  <w:tcW w:w="660" w:type="dxa"/>
                  <w:vAlign w:val="center"/>
                </w:tcPr>
                <w:p w14:paraId="317497D5"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1.54%</w:t>
                  </w:r>
                </w:p>
              </w:tc>
              <w:tc>
                <w:tcPr>
                  <w:tcW w:w="640" w:type="dxa"/>
                  <w:vAlign w:val="center"/>
                </w:tcPr>
                <w:p w14:paraId="60F19D5E"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5.44%</w:t>
                  </w:r>
                </w:p>
              </w:tc>
              <w:tc>
                <w:tcPr>
                  <w:tcW w:w="650" w:type="dxa"/>
                  <w:vAlign w:val="center"/>
                </w:tcPr>
                <w:p w14:paraId="302F1AEE"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0.54%</w:t>
                  </w:r>
                </w:p>
              </w:tc>
              <w:tc>
                <w:tcPr>
                  <w:tcW w:w="650" w:type="dxa"/>
                  <w:vAlign w:val="center"/>
                </w:tcPr>
                <w:p w14:paraId="1A28F900"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1.97%</w:t>
                  </w:r>
                </w:p>
              </w:tc>
              <w:tc>
                <w:tcPr>
                  <w:tcW w:w="650" w:type="dxa"/>
                  <w:vAlign w:val="center"/>
                </w:tcPr>
                <w:p w14:paraId="30E534FD"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3.16%</w:t>
                  </w:r>
                </w:p>
              </w:tc>
              <w:tc>
                <w:tcPr>
                  <w:tcW w:w="650" w:type="dxa"/>
                  <w:vAlign w:val="center"/>
                </w:tcPr>
                <w:p w14:paraId="642EAC65"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0.00%</w:t>
                  </w:r>
                </w:p>
              </w:tc>
              <w:tc>
                <w:tcPr>
                  <w:tcW w:w="650" w:type="dxa"/>
                  <w:vAlign w:val="center"/>
                </w:tcPr>
                <w:p w14:paraId="6D987A67"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1.81%</w:t>
                  </w:r>
                </w:p>
              </w:tc>
              <w:tc>
                <w:tcPr>
                  <w:tcW w:w="650" w:type="dxa"/>
                  <w:vAlign w:val="center"/>
                </w:tcPr>
                <w:p w14:paraId="0D9CA7D9"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-3.01%</w:t>
                  </w:r>
                </w:p>
              </w:tc>
              <w:tc>
                <w:tcPr>
                  <w:tcW w:w="650" w:type="dxa"/>
                  <w:vAlign w:val="center"/>
                </w:tcPr>
                <w:p w14:paraId="4DDFEEFF"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5.86%</w:t>
                  </w:r>
                </w:p>
              </w:tc>
              <w:tc>
                <w:tcPr>
                  <w:tcW w:w="801" w:type="dxa"/>
                  <w:vAlign w:val="center"/>
                </w:tcPr>
                <w:p w14:paraId="22E08B33"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-0.54%</w:t>
                  </w:r>
                </w:p>
              </w:tc>
              <w:tc>
                <w:tcPr>
                  <w:tcW w:w="713" w:type="dxa"/>
                  <w:vAlign w:val="center"/>
                </w:tcPr>
                <w:p w14:paraId="1B48DFD9"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+3.16%</w:t>
                  </w:r>
                </w:p>
              </w:tc>
              <w:tc>
                <w:tcPr>
                  <w:tcW w:w="857" w:type="dxa"/>
                  <w:vAlign w:val="center"/>
                </w:tcPr>
                <w:p w14:paraId="55C043C6" w14:textId="77777777" w:rsidR="00825411" w:rsidRPr="00D70A30" w:rsidRDefault="00825411">
                  <w:pPr>
                    <w:pStyle w:val="Heading1"/>
                    <w:spacing w:before="0"/>
                    <w:jc w:val="center"/>
                    <w:rPr>
                      <w:rFonts w:asciiTheme="minorHAnsi" w:hAnsiTheme="minorHAnsi"/>
                      <w:color w:val="auto"/>
                      <w:sz w:val="13"/>
                      <w:szCs w:val="13"/>
                      <w:lang w:val="en-US"/>
                    </w:rPr>
                  </w:pPr>
                  <w:r w:rsidRPr="00D70A30">
                    <w:rPr>
                      <w:rFonts w:asciiTheme="minorHAnsi" w:hAnsiTheme="minorHAnsi"/>
                      <w:color w:val="auto"/>
                      <w:sz w:val="13"/>
                      <w:szCs w:val="13"/>
                      <w:lang w:val="en-US"/>
                    </w:rPr>
                    <w:t>22.54%</w:t>
                  </w:r>
                </w:p>
              </w:tc>
            </w:tr>
            <w:tr w:rsidR="00825411" w:rsidRPr="00D70A30" w14:paraId="371BEE13" w14:textId="77777777">
              <w:trPr>
                <w:trHeight w:val="38"/>
              </w:trPr>
              <w:tc>
                <w:tcPr>
                  <w:tcW w:w="534" w:type="dxa"/>
                  <w:shd w:val="clear" w:color="auto" w:fill="D9D9D9" w:themeFill="background1" w:themeFillShade="D9"/>
                  <w:vAlign w:val="center"/>
                </w:tcPr>
                <w:p w14:paraId="0D922E8D" w14:textId="77777777" w:rsidR="00825411" w:rsidRPr="00D70A30" w:rsidRDefault="00825411">
                  <w:pPr>
                    <w:pStyle w:val="Heading1"/>
                    <w:spacing w:before="0"/>
                    <w:jc w:val="center"/>
                    <w:rPr>
                      <w:rFonts w:asciiTheme="minorHAnsi" w:hAnsiTheme="minorHAnsi"/>
                      <w:color w:val="auto"/>
                      <w:sz w:val="13"/>
                      <w:szCs w:val="13"/>
                      <w:lang w:val="en-US"/>
                    </w:rPr>
                  </w:pPr>
                  <w:r w:rsidRPr="00D70A30">
                    <w:rPr>
                      <w:rFonts w:asciiTheme="minorHAnsi" w:hAnsiTheme="minorHAnsi"/>
                      <w:color w:val="auto"/>
                      <w:sz w:val="13"/>
                      <w:szCs w:val="13"/>
                      <w:lang w:val="en-US"/>
                    </w:rPr>
                    <w:t>2022</w:t>
                  </w:r>
                </w:p>
              </w:tc>
              <w:tc>
                <w:tcPr>
                  <w:tcW w:w="767" w:type="dxa"/>
                  <w:vAlign w:val="center"/>
                </w:tcPr>
                <w:p w14:paraId="3C10830E"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-2.59%</w:t>
                  </w:r>
                </w:p>
              </w:tc>
              <w:tc>
                <w:tcPr>
                  <w:tcW w:w="660" w:type="dxa"/>
                  <w:vAlign w:val="center"/>
                </w:tcPr>
                <w:p w14:paraId="608093E4"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-6.62%</w:t>
                  </w:r>
                </w:p>
              </w:tc>
              <w:tc>
                <w:tcPr>
                  <w:tcW w:w="640" w:type="dxa"/>
                  <w:vAlign w:val="center"/>
                </w:tcPr>
                <w:p w14:paraId="3FB66992"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-0.23%</w:t>
                  </w:r>
                </w:p>
              </w:tc>
              <w:tc>
                <w:tcPr>
                  <w:tcW w:w="650" w:type="dxa"/>
                  <w:vAlign w:val="center"/>
                </w:tcPr>
                <w:p w14:paraId="53FCD46A"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0.0%</w:t>
                  </w:r>
                </w:p>
              </w:tc>
              <w:tc>
                <w:tcPr>
                  <w:tcW w:w="650" w:type="dxa"/>
                  <w:vAlign w:val="center"/>
                </w:tcPr>
                <w:p w14:paraId="256DC033"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-2.74%</w:t>
                  </w:r>
                </w:p>
              </w:tc>
              <w:tc>
                <w:tcPr>
                  <w:tcW w:w="650" w:type="dxa"/>
                  <w:vAlign w:val="center"/>
                </w:tcPr>
                <w:p w14:paraId="7E732842"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-5.63%</w:t>
                  </w:r>
                </w:p>
              </w:tc>
              <w:tc>
                <w:tcPr>
                  <w:tcW w:w="650" w:type="dxa"/>
                  <w:vAlign w:val="center"/>
                </w:tcPr>
                <w:p w14:paraId="22DC73F9"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5.96%</w:t>
                  </w:r>
                </w:p>
              </w:tc>
              <w:tc>
                <w:tcPr>
                  <w:tcW w:w="650" w:type="dxa"/>
                  <w:vAlign w:val="center"/>
                </w:tcPr>
                <w:p w14:paraId="7E59E501"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-3.64%</w:t>
                  </w:r>
                </w:p>
              </w:tc>
              <w:tc>
                <w:tcPr>
                  <w:tcW w:w="650" w:type="dxa"/>
                  <w:vAlign w:val="center"/>
                </w:tcPr>
                <w:p w14:paraId="59B3577D"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-5.71%</w:t>
                  </w:r>
                </w:p>
              </w:tc>
              <w:tc>
                <w:tcPr>
                  <w:tcW w:w="650" w:type="dxa"/>
                  <w:vAlign w:val="center"/>
                </w:tcPr>
                <w:p w14:paraId="503047A0"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5.80%</w:t>
                  </w:r>
                </w:p>
              </w:tc>
              <w:tc>
                <w:tcPr>
                  <w:tcW w:w="801" w:type="dxa"/>
                  <w:vAlign w:val="center"/>
                </w:tcPr>
                <w:p w14:paraId="6738B092"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4.61%</w:t>
                  </w:r>
                </w:p>
              </w:tc>
              <w:tc>
                <w:tcPr>
                  <w:tcW w:w="713" w:type="dxa"/>
                  <w:vAlign w:val="center"/>
                </w:tcPr>
                <w:p w14:paraId="04DABD04"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-3.81%</w:t>
                  </w:r>
                </w:p>
              </w:tc>
              <w:tc>
                <w:tcPr>
                  <w:tcW w:w="857" w:type="dxa"/>
                  <w:vAlign w:val="center"/>
                </w:tcPr>
                <w:p w14:paraId="5691EC1D" w14:textId="77777777" w:rsidR="00825411" w:rsidRPr="00D70A30" w:rsidRDefault="00825411">
                  <w:pPr>
                    <w:pStyle w:val="Heading1"/>
                    <w:spacing w:before="0"/>
                    <w:jc w:val="center"/>
                    <w:rPr>
                      <w:rFonts w:asciiTheme="minorHAnsi" w:hAnsiTheme="minorHAnsi"/>
                      <w:color w:val="auto"/>
                      <w:sz w:val="13"/>
                      <w:szCs w:val="13"/>
                      <w:lang w:val="en-US"/>
                    </w:rPr>
                  </w:pPr>
                  <w:r w:rsidRPr="00D70A30">
                    <w:rPr>
                      <w:rFonts w:asciiTheme="minorHAnsi" w:hAnsiTheme="minorHAnsi"/>
                      <w:color w:val="auto"/>
                      <w:sz w:val="13"/>
                      <w:szCs w:val="13"/>
                      <w:lang w:val="en-US"/>
                    </w:rPr>
                    <w:t>-14.59%</w:t>
                  </w:r>
                </w:p>
              </w:tc>
            </w:tr>
            <w:tr w:rsidR="00825411" w:rsidRPr="00D70A30" w14:paraId="79B251D9" w14:textId="77777777">
              <w:trPr>
                <w:trHeight w:val="193"/>
              </w:trPr>
              <w:tc>
                <w:tcPr>
                  <w:tcW w:w="534" w:type="dxa"/>
                  <w:shd w:val="clear" w:color="auto" w:fill="D9D9D9" w:themeFill="background1" w:themeFillShade="D9"/>
                  <w:vAlign w:val="center"/>
                </w:tcPr>
                <w:p w14:paraId="45892B10" w14:textId="77777777" w:rsidR="00825411" w:rsidRPr="00D70A30" w:rsidRDefault="00825411">
                  <w:pPr>
                    <w:pStyle w:val="Heading1"/>
                    <w:spacing w:before="0"/>
                    <w:jc w:val="center"/>
                    <w:rPr>
                      <w:rFonts w:asciiTheme="minorHAnsi" w:hAnsiTheme="minorHAnsi"/>
                      <w:color w:val="auto"/>
                      <w:sz w:val="13"/>
                      <w:szCs w:val="13"/>
                      <w:lang w:val="en-US"/>
                    </w:rPr>
                  </w:pPr>
                  <w:r w:rsidRPr="00D70A30">
                    <w:rPr>
                      <w:rFonts w:asciiTheme="minorHAnsi" w:hAnsiTheme="minorHAnsi"/>
                      <w:color w:val="auto"/>
                      <w:sz w:val="13"/>
                      <w:szCs w:val="13"/>
                      <w:lang w:val="en-US"/>
                    </w:rPr>
                    <w:t>2023</w:t>
                  </w:r>
                </w:p>
              </w:tc>
              <w:tc>
                <w:tcPr>
                  <w:tcW w:w="767" w:type="dxa"/>
                  <w:vAlign w:val="center"/>
                </w:tcPr>
                <w:p w14:paraId="3A45EEB0"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3.84%</w:t>
                  </w:r>
                </w:p>
              </w:tc>
              <w:tc>
                <w:tcPr>
                  <w:tcW w:w="660" w:type="dxa"/>
                  <w:vAlign w:val="center"/>
                </w:tcPr>
                <w:p w14:paraId="27E2A2AA"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1.31%</w:t>
                  </w:r>
                </w:p>
              </w:tc>
              <w:tc>
                <w:tcPr>
                  <w:tcW w:w="640" w:type="dxa"/>
                  <w:vAlign w:val="center"/>
                </w:tcPr>
                <w:p w14:paraId="3C872D99"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1.94%</w:t>
                  </w:r>
                </w:p>
              </w:tc>
              <w:tc>
                <w:tcPr>
                  <w:tcW w:w="650" w:type="dxa"/>
                  <w:vAlign w:val="center"/>
                </w:tcPr>
                <w:p w14:paraId="28ED1841"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3.87%</w:t>
                  </w:r>
                </w:p>
              </w:tc>
              <w:tc>
                <w:tcPr>
                  <w:tcW w:w="650" w:type="dxa"/>
                  <w:vAlign w:val="center"/>
                </w:tcPr>
                <w:p w14:paraId="2AC84F01"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-2.50%</w:t>
                  </w:r>
                </w:p>
              </w:tc>
              <w:tc>
                <w:tcPr>
                  <w:tcW w:w="650" w:type="dxa"/>
                  <w:vAlign w:val="center"/>
                </w:tcPr>
                <w:p w14:paraId="618BA796"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1.60%</w:t>
                  </w:r>
                </w:p>
              </w:tc>
              <w:tc>
                <w:tcPr>
                  <w:tcW w:w="650" w:type="dxa"/>
                  <w:vAlign w:val="center"/>
                </w:tcPr>
                <w:p w14:paraId="45A9179C"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1.68%</w:t>
                  </w:r>
                </w:p>
              </w:tc>
              <w:tc>
                <w:tcPr>
                  <w:tcW w:w="650" w:type="dxa"/>
                  <w:vAlign w:val="center"/>
                </w:tcPr>
                <w:p w14:paraId="02FB87A7"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-1.54%</w:t>
                  </w:r>
                </w:p>
              </w:tc>
              <w:tc>
                <w:tcPr>
                  <w:tcW w:w="650" w:type="dxa"/>
                  <w:vAlign w:val="center"/>
                </w:tcPr>
                <w:p w14:paraId="068FCC31"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-3.25%</w:t>
                  </w:r>
                </w:p>
              </w:tc>
              <w:tc>
                <w:tcPr>
                  <w:tcW w:w="650" w:type="dxa"/>
                  <w:vAlign w:val="center"/>
                </w:tcPr>
                <w:p w14:paraId="559921F5"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-0.75%</w:t>
                  </w:r>
                </w:p>
              </w:tc>
              <w:tc>
                <w:tcPr>
                  <w:tcW w:w="801" w:type="dxa"/>
                  <w:vAlign w:val="center"/>
                </w:tcPr>
                <w:p w14:paraId="6EB8A0A3" w14:textId="77777777" w:rsidR="00825411" w:rsidRPr="00D70A30" w:rsidRDefault="00825411">
                  <w:pPr>
                    <w:pStyle w:val="Heading1"/>
                    <w:spacing w:before="0"/>
                    <w:jc w:val="center"/>
                    <w:rPr>
                      <w:rFonts w:asciiTheme="minorHAnsi" w:hAnsiTheme="minorHAnsi"/>
                      <w:b w:val="0"/>
                      <w:color w:val="auto"/>
                      <w:sz w:val="13"/>
                      <w:szCs w:val="13"/>
                      <w:lang w:val="en-US"/>
                    </w:rPr>
                  </w:pPr>
                  <w:r w:rsidRPr="00D70A30">
                    <w:rPr>
                      <w:rFonts w:asciiTheme="minorHAnsi" w:hAnsiTheme="minorHAnsi"/>
                      <w:b w:val="0"/>
                      <w:color w:val="auto"/>
                      <w:sz w:val="13"/>
                      <w:szCs w:val="13"/>
                      <w:lang w:val="en-US"/>
                    </w:rPr>
                    <w:t>3.79%</w:t>
                  </w:r>
                </w:p>
              </w:tc>
              <w:tc>
                <w:tcPr>
                  <w:tcW w:w="713" w:type="dxa"/>
                  <w:vAlign w:val="center"/>
                </w:tcPr>
                <w:p w14:paraId="3BF78CAB" w14:textId="0E53A847" w:rsidR="00825411" w:rsidRPr="00D70A30" w:rsidRDefault="00394C4C">
                  <w:pPr>
                    <w:pStyle w:val="Heading1"/>
                    <w:spacing w:before="0"/>
                    <w:jc w:val="center"/>
                    <w:rPr>
                      <w:rFonts w:asciiTheme="minorHAnsi" w:hAnsiTheme="minorHAnsi"/>
                      <w:b w:val="0"/>
                      <w:color w:val="auto"/>
                      <w:sz w:val="13"/>
                      <w:szCs w:val="13"/>
                      <w:lang w:val="en-US"/>
                    </w:rPr>
                  </w:pPr>
                  <w:r>
                    <w:rPr>
                      <w:rFonts w:asciiTheme="minorHAnsi" w:hAnsiTheme="minorHAnsi"/>
                      <w:b w:val="0"/>
                      <w:color w:val="auto"/>
                      <w:sz w:val="13"/>
                      <w:szCs w:val="13"/>
                      <w:lang w:val="en-US"/>
                    </w:rPr>
                    <w:t>1.85%</w:t>
                  </w:r>
                </w:p>
              </w:tc>
              <w:tc>
                <w:tcPr>
                  <w:tcW w:w="857" w:type="dxa"/>
                  <w:vAlign w:val="center"/>
                </w:tcPr>
                <w:p w14:paraId="22DC54EA" w14:textId="13E89F0F" w:rsidR="00825411" w:rsidRPr="00D70A30" w:rsidRDefault="00825411">
                  <w:pPr>
                    <w:pStyle w:val="Heading1"/>
                    <w:spacing w:before="0"/>
                    <w:jc w:val="center"/>
                    <w:rPr>
                      <w:rFonts w:asciiTheme="minorHAnsi" w:hAnsiTheme="minorHAnsi"/>
                      <w:color w:val="auto"/>
                      <w:sz w:val="13"/>
                      <w:szCs w:val="13"/>
                      <w:lang w:val="en-US"/>
                    </w:rPr>
                  </w:pPr>
                  <w:r>
                    <w:rPr>
                      <w:rFonts w:asciiTheme="minorHAnsi" w:hAnsiTheme="minorHAnsi"/>
                      <w:color w:val="auto"/>
                      <w:sz w:val="13"/>
                      <w:szCs w:val="13"/>
                      <w:lang w:val="en-US"/>
                    </w:rPr>
                    <w:t>1</w:t>
                  </w:r>
                  <w:r w:rsidR="00394C4C">
                    <w:rPr>
                      <w:rFonts w:asciiTheme="minorHAnsi" w:hAnsiTheme="minorHAnsi"/>
                      <w:color w:val="auto"/>
                      <w:sz w:val="13"/>
                      <w:szCs w:val="13"/>
                      <w:lang w:val="en-US"/>
                    </w:rPr>
                    <w:t>2.13%</w:t>
                  </w:r>
                </w:p>
              </w:tc>
            </w:tr>
            <w:tr w:rsidR="00BF2FBD" w:rsidRPr="00D70A30" w14:paraId="0BB86C5B" w14:textId="77777777">
              <w:trPr>
                <w:trHeight w:val="193"/>
              </w:trPr>
              <w:tc>
                <w:tcPr>
                  <w:tcW w:w="534" w:type="dxa"/>
                  <w:shd w:val="clear" w:color="auto" w:fill="D9D9D9" w:themeFill="background1" w:themeFillShade="D9"/>
                  <w:vAlign w:val="center"/>
                </w:tcPr>
                <w:p w14:paraId="5C27C8A9" w14:textId="10B2D90E" w:rsidR="00BF2FBD" w:rsidRPr="00D70A30" w:rsidRDefault="00BF2FBD">
                  <w:pPr>
                    <w:pStyle w:val="Heading1"/>
                    <w:spacing w:before="0"/>
                    <w:jc w:val="center"/>
                    <w:rPr>
                      <w:rFonts w:asciiTheme="minorHAnsi" w:hAnsiTheme="minorHAnsi"/>
                      <w:color w:val="auto"/>
                      <w:sz w:val="13"/>
                      <w:szCs w:val="13"/>
                      <w:lang w:val="en-US"/>
                    </w:rPr>
                  </w:pPr>
                  <w:r>
                    <w:rPr>
                      <w:rFonts w:asciiTheme="minorHAnsi" w:hAnsiTheme="minorHAnsi"/>
                      <w:color w:val="auto"/>
                      <w:sz w:val="13"/>
                      <w:szCs w:val="13"/>
                      <w:lang w:val="en-US"/>
                    </w:rPr>
                    <w:t>2024</w:t>
                  </w:r>
                </w:p>
              </w:tc>
              <w:tc>
                <w:tcPr>
                  <w:tcW w:w="767" w:type="dxa"/>
                  <w:vAlign w:val="center"/>
                </w:tcPr>
                <w:p w14:paraId="7D49E3C4" w14:textId="2E4BA542" w:rsidR="00BF2FBD" w:rsidRPr="00D70A30" w:rsidRDefault="00BF2FBD">
                  <w:pPr>
                    <w:pStyle w:val="Heading1"/>
                    <w:spacing w:before="0"/>
                    <w:jc w:val="center"/>
                    <w:rPr>
                      <w:rFonts w:asciiTheme="minorHAnsi" w:hAnsiTheme="minorHAnsi"/>
                      <w:b w:val="0"/>
                      <w:color w:val="auto"/>
                      <w:sz w:val="13"/>
                      <w:szCs w:val="13"/>
                      <w:lang w:val="en-US"/>
                    </w:rPr>
                  </w:pPr>
                  <w:r>
                    <w:rPr>
                      <w:rFonts w:asciiTheme="minorHAnsi" w:hAnsiTheme="minorHAnsi"/>
                      <w:b w:val="0"/>
                      <w:color w:val="auto"/>
                      <w:sz w:val="13"/>
                      <w:szCs w:val="13"/>
                      <w:lang w:val="en-US"/>
                    </w:rPr>
                    <w:t>1.32%</w:t>
                  </w:r>
                </w:p>
              </w:tc>
              <w:tc>
                <w:tcPr>
                  <w:tcW w:w="660" w:type="dxa"/>
                  <w:vAlign w:val="center"/>
                </w:tcPr>
                <w:p w14:paraId="16B3D762" w14:textId="5FCE7C5B" w:rsidR="00BF2FBD" w:rsidRPr="00D70A30" w:rsidRDefault="00FC6E0C">
                  <w:pPr>
                    <w:pStyle w:val="Heading1"/>
                    <w:spacing w:before="0"/>
                    <w:jc w:val="center"/>
                    <w:rPr>
                      <w:rFonts w:asciiTheme="minorHAnsi" w:hAnsiTheme="minorHAnsi"/>
                      <w:b w:val="0"/>
                      <w:color w:val="auto"/>
                      <w:sz w:val="13"/>
                      <w:szCs w:val="13"/>
                      <w:lang w:val="en-US"/>
                    </w:rPr>
                  </w:pPr>
                  <w:r>
                    <w:rPr>
                      <w:rFonts w:asciiTheme="minorHAnsi" w:hAnsiTheme="minorHAnsi"/>
                      <w:b w:val="0"/>
                      <w:color w:val="auto"/>
                      <w:sz w:val="13"/>
                      <w:szCs w:val="13"/>
                      <w:lang w:val="en-US"/>
                    </w:rPr>
                    <w:t>3.15%</w:t>
                  </w:r>
                </w:p>
              </w:tc>
              <w:tc>
                <w:tcPr>
                  <w:tcW w:w="640" w:type="dxa"/>
                  <w:vAlign w:val="center"/>
                </w:tcPr>
                <w:p w14:paraId="0C5A83C6" w14:textId="5E7E3C8D" w:rsidR="00BF2FBD" w:rsidRPr="00D70A30" w:rsidRDefault="006857CD">
                  <w:pPr>
                    <w:pStyle w:val="Heading1"/>
                    <w:spacing w:before="0"/>
                    <w:jc w:val="center"/>
                    <w:rPr>
                      <w:rFonts w:asciiTheme="minorHAnsi" w:hAnsiTheme="minorHAnsi"/>
                      <w:b w:val="0"/>
                      <w:color w:val="auto"/>
                      <w:sz w:val="13"/>
                      <w:szCs w:val="13"/>
                      <w:lang w:val="en-US"/>
                    </w:rPr>
                  </w:pPr>
                  <w:r>
                    <w:rPr>
                      <w:rFonts w:asciiTheme="minorHAnsi" w:hAnsiTheme="minorHAnsi"/>
                      <w:b w:val="0"/>
                      <w:color w:val="auto"/>
                      <w:sz w:val="13"/>
                      <w:szCs w:val="13"/>
                      <w:lang w:val="en-US"/>
                    </w:rPr>
                    <w:t>2.13%</w:t>
                  </w:r>
                </w:p>
              </w:tc>
              <w:tc>
                <w:tcPr>
                  <w:tcW w:w="650" w:type="dxa"/>
                  <w:vAlign w:val="center"/>
                </w:tcPr>
                <w:p w14:paraId="077E0D1D" w14:textId="029D470B" w:rsidR="00BF2FBD" w:rsidRPr="00D70A30" w:rsidRDefault="006F2FDD">
                  <w:pPr>
                    <w:pStyle w:val="Heading1"/>
                    <w:spacing w:before="0"/>
                    <w:jc w:val="center"/>
                    <w:rPr>
                      <w:rFonts w:asciiTheme="minorHAnsi" w:hAnsiTheme="minorHAnsi"/>
                      <w:b w:val="0"/>
                      <w:color w:val="auto"/>
                      <w:sz w:val="13"/>
                      <w:szCs w:val="13"/>
                      <w:lang w:val="en-US"/>
                    </w:rPr>
                  </w:pPr>
                  <w:r>
                    <w:rPr>
                      <w:rFonts w:asciiTheme="minorHAnsi" w:hAnsiTheme="minorHAnsi"/>
                      <w:b w:val="0"/>
                      <w:color w:val="auto"/>
                      <w:sz w:val="13"/>
                      <w:szCs w:val="13"/>
                      <w:lang w:val="en-US"/>
                    </w:rPr>
                    <w:t>-1.23%</w:t>
                  </w:r>
                </w:p>
              </w:tc>
              <w:tc>
                <w:tcPr>
                  <w:tcW w:w="650" w:type="dxa"/>
                  <w:vAlign w:val="center"/>
                </w:tcPr>
                <w:p w14:paraId="09C9BE45" w14:textId="140910B3" w:rsidR="00BF2FBD" w:rsidRPr="00D70A30" w:rsidRDefault="001142C3">
                  <w:pPr>
                    <w:pStyle w:val="Heading1"/>
                    <w:spacing w:before="0"/>
                    <w:jc w:val="center"/>
                    <w:rPr>
                      <w:rFonts w:asciiTheme="minorHAnsi" w:hAnsiTheme="minorHAnsi"/>
                      <w:b w:val="0"/>
                      <w:color w:val="auto"/>
                      <w:sz w:val="13"/>
                      <w:szCs w:val="13"/>
                      <w:lang w:val="en-US"/>
                    </w:rPr>
                  </w:pPr>
                  <w:r>
                    <w:rPr>
                      <w:rFonts w:asciiTheme="minorHAnsi" w:hAnsiTheme="minorHAnsi"/>
                      <w:b w:val="0"/>
                      <w:color w:val="auto"/>
                      <w:sz w:val="13"/>
                      <w:szCs w:val="13"/>
                      <w:lang w:val="en-US"/>
                    </w:rPr>
                    <w:t>1.38%</w:t>
                  </w:r>
                </w:p>
              </w:tc>
              <w:tc>
                <w:tcPr>
                  <w:tcW w:w="650" w:type="dxa"/>
                  <w:vAlign w:val="center"/>
                </w:tcPr>
                <w:p w14:paraId="1B952167" w14:textId="50B12572" w:rsidR="00BF2FBD" w:rsidRPr="00D70A30" w:rsidRDefault="00E06C99">
                  <w:pPr>
                    <w:pStyle w:val="Heading1"/>
                    <w:spacing w:before="0"/>
                    <w:jc w:val="center"/>
                    <w:rPr>
                      <w:rFonts w:asciiTheme="minorHAnsi" w:hAnsiTheme="minorHAnsi"/>
                      <w:b w:val="0"/>
                      <w:color w:val="auto"/>
                      <w:sz w:val="13"/>
                      <w:szCs w:val="13"/>
                      <w:lang w:val="en-US"/>
                    </w:rPr>
                  </w:pPr>
                  <w:r>
                    <w:rPr>
                      <w:rFonts w:asciiTheme="minorHAnsi" w:hAnsiTheme="minorHAnsi"/>
                      <w:b w:val="0"/>
                      <w:color w:val="auto"/>
                      <w:sz w:val="13"/>
                      <w:szCs w:val="13"/>
                      <w:lang w:val="en-US"/>
                    </w:rPr>
                    <w:t>1.58%</w:t>
                  </w:r>
                </w:p>
              </w:tc>
              <w:tc>
                <w:tcPr>
                  <w:tcW w:w="650" w:type="dxa"/>
                  <w:vAlign w:val="center"/>
                </w:tcPr>
                <w:p w14:paraId="432F3912" w14:textId="5130DAFF" w:rsidR="00BF2FBD" w:rsidRPr="00D70A30" w:rsidRDefault="00182A34">
                  <w:pPr>
                    <w:pStyle w:val="Heading1"/>
                    <w:spacing w:before="0"/>
                    <w:jc w:val="center"/>
                    <w:rPr>
                      <w:rFonts w:asciiTheme="minorHAnsi" w:hAnsiTheme="minorHAnsi"/>
                      <w:b w:val="0"/>
                      <w:color w:val="auto"/>
                      <w:sz w:val="13"/>
                      <w:szCs w:val="13"/>
                      <w:lang w:val="en-US"/>
                    </w:rPr>
                  </w:pPr>
                  <w:r>
                    <w:rPr>
                      <w:rFonts w:asciiTheme="minorHAnsi" w:hAnsiTheme="minorHAnsi"/>
                      <w:b w:val="0"/>
                      <w:color w:val="auto"/>
                      <w:sz w:val="13"/>
                      <w:szCs w:val="13"/>
                      <w:lang w:val="en-US"/>
                    </w:rPr>
                    <w:t>-0.45%</w:t>
                  </w:r>
                </w:p>
              </w:tc>
              <w:tc>
                <w:tcPr>
                  <w:tcW w:w="650" w:type="dxa"/>
                  <w:vAlign w:val="center"/>
                </w:tcPr>
                <w:p w14:paraId="05AD3A6A" w14:textId="1EE560CF" w:rsidR="00BF2FBD" w:rsidRPr="00D70A30" w:rsidRDefault="009347F6">
                  <w:pPr>
                    <w:pStyle w:val="Heading1"/>
                    <w:spacing w:before="0"/>
                    <w:jc w:val="center"/>
                    <w:rPr>
                      <w:rFonts w:asciiTheme="minorHAnsi" w:hAnsiTheme="minorHAnsi"/>
                      <w:b w:val="0"/>
                      <w:color w:val="auto"/>
                      <w:sz w:val="13"/>
                      <w:szCs w:val="13"/>
                      <w:lang w:val="en-US"/>
                    </w:rPr>
                  </w:pPr>
                  <w:r>
                    <w:rPr>
                      <w:rFonts w:asciiTheme="minorHAnsi" w:hAnsiTheme="minorHAnsi"/>
                      <w:b w:val="0"/>
                      <w:color w:val="auto"/>
                      <w:sz w:val="13"/>
                      <w:szCs w:val="13"/>
                      <w:lang w:val="en-US"/>
                    </w:rPr>
                    <w:t>1.04%</w:t>
                  </w:r>
                </w:p>
              </w:tc>
              <w:tc>
                <w:tcPr>
                  <w:tcW w:w="650" w:type="dxa"/>
                  <w:vAlign w:val="center"/>
                </w:tcPr>
                <w:p w14:paraId="61A6A3F0" w14:textId="44B4268C" w:rsidR="00BF2FBD" w:rsidRPr="00D70A30" w:rsidRDefault="00C3341B">
                  <w:pPr>
                    <w:pStyle w:val="Heading1"/>
                    <w:spacing w:before="0"/>
                    <w:jc w:val="center"/>
                    <w:rPr>
                      <w:rFonts w:asciiTheme="minorHAnsi" w:hAnsiTheme="minorHAnsi"/>
                      <w:b w:val="0"/>
                      <w:color w:val="auto"/>
                      <w:sz w:val="13"/>
                      <w:szCs w:val="13"/>
                      <w:lang w:val="en-US"/>
                    </w:rPr>
                  </w:pPr>
                  <w:r>
                    <w:rPr>
                      <w:rFonts w:asciiTheme="minorHAnsi" w:hAnsiTheme="minorHAnsi"/>
                      <w:b w:val="0"/>
                      <w:color w:val="auto"/>
                      <w:sz w:val="13"/>
                      <w:szCs w:val="13"/>
                      <w:lang w:val="en-US"/>
                    </w:rPr>
                    <w:t>-0.53%</w:t>
                  </w:r>
                </w:p>
              </w:tc>
              <w:tc>
                <w:tcPr>
                  <w:tcW w:w="650" w:type="dxa"/>
                  <w:vAlign w:val="center"/>
                </w:tcPr>
                <w:p w14:paraId="50EC0734" w14:textId="6BB24F26" w:rsidR="00BF2FBD" w:rsidRPr="00D70A30" w:rsidRDefault="00B41D61">
                  <w:pPr>
                    <w:pStyle w:val="Heading1"/>
                    <w:spacing w:before="0"/>
                    <w:jc w:val="center"/>
                    <w:rPr>
                      <w:rFonts w:asciiTheme="minorHAnsi" w:hAnsiTheme="minorHAnsi"/>
                      <w:b w:val="0"/>
                      <w:color w:val="auto"/>
                      <w:sz w:val="13"/>
                      <w:szCs w:val="13"/>
                      <w:lang w:val="en-US"/>
                    </w:rPr>
                  </w:pPr>
                  <w:r>
                    <w:rPr>
                      <w:rFonts w:asciiTheme="minorHAnsi" w:hAnsiTheme="minorHAnsi"/>
                      <w:b w:val="0"/>
                      <w:color w:val="auto"/>
                      <w:sz w:val="13"/>
                      <w:szCs w:val="13"/>
                      <w:lang w:val="en-US"/>
                    </w:rPr>
                    <w:t>-1.08%</w:t>
                  </w:r>
                </w:p>
              </w:tc>
              <w:tc>
                <w:tcPr>
                  <w:tcW w:w="801" w:type="dxa"/>
                  <w:vAlign w:val="center"/>
                </w:tcPr>
                <w:p w14:paraId="09DD27A4" w14:textId="12C8713A" w:rsidR="00BF2FBD" w:rsidRPr="00D70A30" w:rsidRDefault="00DA188E">
                  <w:pPr>
                    <w:pStyle w:val="Heading1"/>
                    <w:spacing w:before="0"/>
                    <w:jc w:val="center"/>
                    <w:rPr>
                      <w:rFonts w:asciiTheme="minorHAnsi" w:hAnsiTheme="minorHAnsi"/>
                      <w:b w:val="0"/>
                      <w:color w:val="auto"/>
                      <w:sz w:val="13"/>
                      <w:szCs w:val="13"/>
                      <w:lang w:val="en-US"/>
                    </w:rPr>
                  </w:pPr>
                  <w:r>
                    <w:rPr>
                      <w:rFonts w:asciiTheme="minorHAnsi" w:hAnsiTheme="minorHAnsi"/>
                      <w:b w:val="0"/>
                      <w:color w:val="auto"/>
                      <w:sz w:val="13"/>
                      <w:szCs w:val="13"/>
                      <w:lang w:val="en-US"/>
                    </w:rPr>
                    <w:t>1.22%</w:t>
                  </w:r>
                </w:p>
              </w:tc>
              <w:tc>
                <w:tcPr>
                  <w:tcW w:w="713" w:type="dxa"/>
                  <w:vAlign w:val="center"/>
                </w:tcPr>
                <w:p w14:paraId="04467894" w14:textId="2755649B" w:rsidR="00BF2FBD" w:rsidRDefault="00FF0411">
                  <w:pPr>
                    <w:pStyle w:val="Heading1"/>
                    <w:spacing w:before="0"/>
                    <w:jc w:val="center"/>
                    <w:rPr>
                      <w:rFonts w:asciiTheme="minorHAnsi" w:hAnsiTheme="minorHAnsi"/>
                      <w:b w:val="0"/>
                      <w:color w:val="auto"/>
                      <w:sz w:val="13"/>
                      <w:szCs w:val="13"/>
                      <w:lang w:val="en-US"/>
                    </w:rPr>
                  </w:pPr>
                  <w:r>
                    <w:rPr>
                      <w:rFonts w:asciiTheme="minorHAnsi" w:hAnsiTheme="minorHAnsi"/>
                      <w:b w:val="0"/>
                      <w:color w:val="auto"/>
                      <w:sz w:val="13"/>
                      <w:szCs w:val="13"/>
                      <w:lang w:val="en-US"/>
                    </w:rPr>
                    <w:t>-2.01</w:t>
                  </w:r>
                </w:p>
              </w:tc>
              <w:tc>
                <w:tcPr>
                  <w:tcW w:w="857" w:type="dxa"/>
                  <w:vAlign w:val="center"/>
                </w:tcPr>
                <w:p w14:paraId="1E8C6982" w14:textId="090C0FEA" w:rsidR="00BF2FBD" w:rsidRDefault="00FF0411" w:rsidP="00FC6E0C">
                  <w:pPr>
                    <w:pStyle w:val="Heading1"/>
                    <w:spacing w:before="0"/>
                    <w:jc w:val="center"/>
                    <w:rPr>
                      <w:rFonts w:asciiTheme="minorHAnsi" w:hAnsiTheme="minorHAnsi"/>
                      <w:color w:val="auto"/>
                      <w:sz w:val="13"/>
                      <w:szCs w:val="13"/>
                      <w:lang w:val="en-US"/>
                    </w:rPr>
                  </w:pPr>
                  <w:r>
                    <w:rPr>
                      <w:rFonts w:asciiTheme="minorHAnsi" w:hAnsiTheme="minorHAnsi"/>
                      <w:color w:val="auto"/>
                      <w:sz w:val="13"/>
                      <w:szCs w:val="13"/>
                      <w:lang w:val="en-US"/>
                    </w:rPr>
                    <w:t>6.58</w:t>
                  </w:r>
                  <w:r w:rsidR="00DA188E">
                    <w:rPr>
                      <w:rFonts w:asciiTheme="minorHAnsi" w:hAnsiTheme="minorHAnsi"/>
                      <w:color w:val="auto"/>
                      <w:sz w:val="13"/>
                      <w:szCs w:val="13"/>
                      <w:lang w:val="en-US"/>
                    </w:rPr>
                    <w:t>%</w:t>
                  </w:r>
                </w:p>
              </w:tc>
            </w:tr>
            <w:tr w:rsidR="00814793" w:rsidRPr="00D70A30" w14:paraId="1BB83234" w14:textId="77777777">
              <w:trPr>
                <w:trHeight w:val="193"/>
              </w:trPr>
              <w:tc>
                <w:tcPr>
                  <w:tcW w:w="534" w:type="dxa"/>
                  <w:shd w:val="clear" w:color="auto" w:fill="D9D9D9" w:themeFill="background1" w:themeFillShade="D9"/>
                  <w:vAlign w:val="center"/>
                </w:tcPr>
                <w:p w14:paraId="3D810F72" w14:textId="67C28C2E" w:rsidR="00814793" w:rsidRDefault="00814793">
                  <w:pPr>
                    <w:pStyle w:val="Heading1"/>
                    <w:spacing w:before="0"/>
                    <w:jc w:val="center"/>
                    <w:rPr>
                      <w:rFonts w:asciiTheme="minorHAnsi" w:hAnsiTheme="minorHAnsi"/>
                      <w:color w:val="auto"/>
                      <w:sz w:val="13"/>
                      <w:szCs w:val="13"/>
                      <w:lang w:val="en-US"/>
                    </w:rPr>
                  </w:pPr>
                  <w:r>
                    <w:rPr>
                      <w:rFonts w:asciiTheme="minorHAnsi" w:hAnsiTheme="minorHAnsi"/>
                      <w:color w:val="auto"/>
                      <w:sz w:val="13"/>
                      <w:szCs w:val="13"/>
                      <w:lang w:val="en-US"/>
                    </w:rPr>
                    <w:t>2025</w:t>
                  </w:r>
                </w:p>
              </w:tc>
              <w:tc>
                <w:tcPr>
                  <w:tcW w:w="767" w:type="dxa"/>
                  <w:vAlign w:val="center"/>
                </w:tcPr>
                <w:p w14:paraId="1B3A56DE" w14:textId="4FD934E6" w:rsidR="00814793" w:rsidRDefault="00814793">
                  <w:pPr>
                    <w:pStyle w:val="Heading1"/>
                    <w:spacing w:before="0"/>
                    <w:jc w:val="center"/>
                    <w:rPr>
                      <w:rFonts w:asciiTheme="minorHAnsi" w:hAnsiTheme="minorHAnsi"/>
                      <w:b w:val="0"/>
                      <w:color w:val="auto"/>
                      <w:sz w:val="13"/>
                      <w:szCs w:val="13"/>
                      <w:lang w:val="en-US"/>
                    </w:rPr>
                  </w:pPr>
                  <w:r>
                    <w:rPr>
                      <w:rFonts w:asciiTheme="minorHAnsi" w:hAnsiTheme="minorHAnsi"/>
                      <w:b w:val="0"/>
                      <w:color w:val="auto"/>
                      <w:sz w:val="13"/>
                      <w:szCs w:val="13"/>
                      <w:lang w:val="en-US"/>
                    </w:rPr>
                    <w:t>5.39%</w:t>
                  </w:r>
                </w:p>
              </w:tc>
              <w:tc>
                <w:tcPr>
                  <w:tcW w:w="660" w:type="dxa"/>
                  <w:vAlign w:val="center"/>
                </w:tcPr>
                <w:p w14:paraId="28233CF2" w14:textId="039A7601" w:rsidR="00814793" w:rsidRDefault="00445A3D">
                  <w:pPr>
                    <w:pStyle w:val="Heading1"/>
                    <w:spacing w:before="0"/>
                    <w:jc w:val="center"/>
                    <w:rPr>
                      <w:rFonts w:asciiTheme="minorHAnsi" w:hAnsiTheme="minorHAnsi"/>
                      <w:b w:val="0"/>
                      <w:color w:val="auto"/>
                      <w:sz w:val="13"/>
                      <w:szCs w:val="13"/>
                      <w:lang w:val="en-US"/>
                    </w:rPr>
                  </w:pPr>
                  <w:r>
                    <w:rPr>
                      <w:rFonts w:asciiTheme="minorHAnsi" w:hAnsiTheme="minorHAnsi"/>
                      <w:b w:val="0"/>
                      <w:color w:val="auto"/>
                      <w:sz w:val="13"/>
                      <w:szCs w:val="13"/>
                      <w:lang w:val="en-US"/>
                    </w:rPr>
                    <w:t>1</w:t>
                  </w:r>
                  <w:r w:rsidR="0073323C">
                    <w:rPr>
                      <w:rFonts w:asciiTheme="minorHAnsi" w:hAnsiTheme="minorHAnsi"/>
                      <w:b w:val="0"/>
                      <w:color w:val="auto"/>
                      <w:sz w:val="13"/>
                      <w:szCs w:val="13"/>
                      <w:lang w:val="en-US"/>
                    </w:rPr>
                    <w:t>.</w:t>
                  </w:r>
                  <w:r>
                    <w:rPr>
                      <w:rFonts w:asciiTheme="minorHAnsi" w:hAnsiTheme="minorHAnsi"/>
                      <w:b w:val="0"/>
                      <w:color w:val="auto"/>
                      <w:sz w:val="13"/>
                      <w:szCs w:val="13"/>
                      <w:lang w:val="en-US"/>
                    </w:rPr>
                    <w:t>98%</w:t>
                  </w:r>
                </w:p>
              </w:tc>
              <w:tc>
                <w:tcPr>
                  <w:tcW w:w="640" w:type="dxa"/>
                  <w:vAlign w:val="center"/>
                </w:tcPr>
                <w:p w14:paraId="6AE5CF87" w14:textId="1DF4A6DD" w:rsidR="00814793" w:rsidRDefault="00880679">
                  <w:pPr>
                    <w:pStyle w:val="Heading1"/>
                    <w:spacing w:before="0"/>
                    <w:jc w:val="center"/>
                    <w:rPr>
                      <w:rFonts w:asciiTheme="minorHAnsi" w:hAnsiTheme="minorHAnsi"/>
                      <w:b w:val="0"/>
                      <w:color w:val="auto"/>
                      <w:sz w:val="13"/>
                      <w:szCs w:val="13"/>
                      <w:lang w:val="en-US"/>
                    </w:rPr>
                  </w:pPr>
                  <w:r>
                    <w:rPr>
                      <w:rFonts w:asciiTheme="minorHAnsi" w:hAnsiTheme="minorHAnsi"/>
                      <w:b w:val="0"/>
                      <w:color w:val="auto"/>
                      <w:sz w:val="13"/>
                      <w:szCs w:val="13"/>
                      <w:lang w:val="en-US"/>
                    </w:rPr>
                    <w:t>-5.58%</w:t>
                  </w:r>
                </w:p>
              </w:tc>
              <w:tc>
                <w:tcPr>
                  <w:tcW w:w="650" w:type="dxa"/>
                  <w:vAlign w:val="center"/>
                </w:tcPr>
                <w:p w14:paraId="0D57500D" w14:textId="6E080668" w:rsidR="00814793" w:rsidRDefault="0095277D">
                  <w:pPr>
                    <w:pStyle w:val="Heading1"/>
                    <w:spacing w:before="0"/>
                    <w:jc w:val="center"/>
                    <w:rPr>
                      <w:rFonts w:asciiTheme="minorHAnsi" w:hAnsiTheme="minorHAnsi"/>
                      <w:b w:val="0"/>
                      <w:color w:val="auto"/>
                      <w:sz w:val="13"/>
                      <w:szCs w:val="13"/>
                      <w:lang w:val="en-US"/>
                    </w:rPr>
                  </w:pPr>
                  <w:r>
                    <w:rPr>
                      <w:rFonts w:asciiTheme="minorHAnsi" w:hAnsiTheme="minorHAnsi"/>
                      <w:b w:val="0"/>
                      <w:color w:val="auto"/>
                      <w:sz w:val="13"/>
                      <w:szCs w:val="13"/>
                      <w:lang w:val="en-US"/>
                    </w:rPr>
                    <w:t>-1.84%</w:t>
                  </w:r>
                </w:p>
              </w:tc>
              <w:tc>
                <w:tcPr>
                  <w:tcW w:w="650" w:type="dxa"/>
                  <w:vAlign w:val="center"/>
                </w:tcPr>
                <w:p w14:paraId="69A6CCAD" w14:textId="6BFB522A" w:rsidR="00814793" w:rsidRDefault="00860B74">
                  <w:pPr>
                    <w:pStyle w:val="Heading1"/>
                    <w:spacing w:before="0"/>
                    <w:jc w:val="center"/>
                    <w:rPr>
                      <w:rFonts w:asciiTheme="minorHAnsi" w:hAnsiTheme="minorHAnsi"/>
                      <w:b w:val="0"/>
                      <w:color w:val="auto"/>
                      <w:sz w:val="13"/>
                      <w:szCs w:val="13"/>
                      <w:lang w:val="en-US"/>
                    </w:rPr>
                  </w:pPr>
                  <w:r>
                    <w:rPr>
                      <w:rFonts w:asciiTheme="minorHAnsi" w:hAnsiTheme="minorHAnsi"/>
                      <w:b w:val="0"/>
                      <w:color w:val="auto"/>
                      <w:sz w:val="13"/>
                      <w:szCs w:val="13"/>
                      <w:lang w:val="en-US"/>
                    </w:rPr>
                    <w:t>3.56%</w:t>
                  </w:r>
                </w:p>
              </w:tc>
              <w:tc>
                <w:tcPr>
                  <w:tcW w:w="650" w:type="dxa"/>
                  <w:vAlign w:val="center"/>
                </w:tcPr>
                <w:p w14:paraId="3F06ED67" w14:textId="21496171" w:rsidR="00814793" w:rsidRDefault="00FA75B1">
                  <w:pPr>
                    <w:pStyle w:val="Heading1"/>
                    <w:spacing w:before="0"/>
                    <w:jc w:val="center"/>
                    <w:rPr>
                      <w:rFonts w:asciiTheme="minorHAnsi" w:hAnsiTheme="minorHAnsi"/>
                      <w:b w:val="0"/>
                      <w:color w:val="auto"/>
                      <w:sz w:val="13"/>
                      <w:szCs w:val="13"/>
                      <w:lang w:val="en-US"/>
                    </w:rPr>
                  </w:pPr>
                  <w:r>
                    <w:rPr>
                      <w:rFonts w:asciiTheme="minorHAnsi" w:hAnsiTheme="minorHAnsi"/>
                      <w:b w:val="0"/>
                      <w:color w:val="auto"/>
                      <w:sz w:val="13"/>
                      <w:szCs w:val="13"/>
                      <w:lang w:val="en-US"/>
                    </w:rPr>
                    <w:t>-0.97%</w:t>
                  </w:r>
                </w:p>
              </w:tc>
              <w:tc>
                <w:tcPr>
                  <w:tcW w:w="650" w:type="dxa"/>
                  <w:vAlign w:val="center"/>
                </w:tcPr>
                <w:p w14:paraId="07CE591F" w14:textId="7E0CA06A" w:rsidR="00814793" w:rsidRDefault="0022613C">
                  <w:pPr>
                    <w:pStyle w:val="Heading1"/>
                    <w:spacing w:before="0"/>
                    <w:jc w:val="center"/>
                    <w:rPr>
                      <w:rFonts w:asciiTheme="minorHAnsi" w:hAnsiTheme="minorHAnsi"/>
                      <w:b w:val="0"/>
                      <w:color w:val="auto"/>
                      <w:sz w:val="13"/>
                      <w:szCs w:val="13"/>
                      <w:lang w:val="en-US"/>
                    </w:rPr>
                  </w:pPr>
                  <w:r>
                    <w:rPr>
                      <w:rFonts w:asciiTheme="minorHAnsi" w:hAnsiTheme="minorHAnsi"/>
                      <w:b w:val="0"/>
                      <w:color w:val="auto"/>
                      <w:sz w:val="13"/>
                      <w:szCs w:val="13"/>
                      <w:lang w:val="en-US"/>
                    </w:rPr>
                    <w:t>-1.25%</w:t>
                  </w:r>
                </w:p>
              </w:tc>
              <w:tc>
                <w:tcPr>
                  <w:tcW w:w="650" w:type="dxa"/>
                  <w:vAlign w:val="center"/>
                </w:tcPr>
                <w:p w14:paraId="123D9F6E" w14:textId="1D36B5DC" w:rsidR="00814793" w:rsidRDefault="00341611">
                  <w:pPr>
                    <w:pStyle w:val="Heading1"/>
                    <w:spacing w:before="0"/>
                    <w:jc w:val="center"/>
                    <w:rPr>
                      <w:rFonts w:asciiTheme="minorHAnsi" w:hAnsiTheme="minorHAnsi"/>
                      <w:b w:val="0"/>
                      <w:color w:val="auto"/>
                      <w:sz w:val="13"/>
                      <w:szCs w:val="13"/>
                      <w:lang w:val="en-US"/>
                    </w:rPr>
                  </w:pPr>
                  <w:r>
                    <w:rPr>
                      <w:rFonts w:asciiTheme="minorHAnsi" w:hAnsiTheme="minorHAnsi"/>
                      <w:b w:val="0"/>
                      <w:color w:val="auto"/>
                      <w:sz w:val="13"/>
                      <w:szCs w:val="13"/>
                      <w:lang w:val="en-US"/>
                    </w:rPr>
                    <w:t>-0.94%</w:t>
                  </w:r>
                </w:p>
              </w:tc>
              <w:tc>
                <w:tcPr>
                  <w:tcW w:w="650" w:type="dxa"/>
                  <w:vAlign w:val="center"/>
                </w:tcPr>
                <w:p w14:paraId="6119F608" w14:textId="072AA9F9" w:rsidR="00814793" w:rsidRDefault="00505BE4">
                  <w:pPr>
                    <w:pStyle w:val="Heading1"/>
                    <w:spacing w:before="0"/>
                    <w:jc w:val="center"/>
                    <w:rPr>
                      <w:rFonts w:asciiTheme="minorHAnsi" w:hAnsiTheme="minorHAnsi"/>
                      <w:b w:val="0"/>
                      <w:color w:val="auto"/>
                      <w:sz w:val="13"/>
                      <w:szCs w:val="13"/>
                      <w:lang w:val="en-US"/>
                    </w:rPr>
                  </w:pPr>
                  <w:r>
                    <w:rPr>
                      <w:rFonts w:asciiTheme="minorHAnsi" w:hAnsiTheme="minorHAnsi"/>
                      <w:b w:val="0"/>
                      <w:color w:val="auto"/>
                      <w:sz w:val="13"/>
                      <w:szCs w:val="13"/>
                      <w:lang w:val="en-US"/>
                    </w:rPr>
                    <w:t>3.08%</w:t>
                  </w:r>
                </w:p>
              </w:tc>
              <w:tc>
                <w:tcPr>
                  <w:tcW w:w="650" w:type="dxa"/>
                  <w:vAlign w:val="center"/>
                </w:tcPr>
                <w:p w14:paraId="3C007E27" w14:textId="75653B33" w:rsidR="00814793" w:rsidRDefault="001026FF">
                  <w:pPr>
                    <w:pStyle w:val="Heading1"/>
                    <w:spacing w:before="0"/>
                    <w:jc w:val="center"/>
                    <w:rPr>
                      <w:rFonts w:asciiTheme="minorHAnsi" w:hAnsiTheme="minorHAnsi"/>
                      <w:b w:val="0"/>
                      <w:color w:val="auto"/>
                      <w:sz w:val="13"/>
                      <w:szCs w:val="13"/>
                      <w:lang w:val="en-US"/>
                    </w:rPr>
                  </w:pPr>
                  <w:r>
                    <w:rPr>
                      <w:rFonts w:asciiTheme="minorHAnsi" w:hAnsiTheme="minorHAnsi"/>
                      <w:b w:val="0"/>
                      <w:color w:val="auto"/>
                      <w:sz w:val="13"/>
                      <w:szCs w:val="13"/>
                      <w:lang w:val="en-US"/>
                    </w:rPr>
                    <w:t>1.20%</w:t>
                  </w:r>
                </w:p>
              </w:tc>
              <w:tc>
                <w:tcPr>
                  <w:tcW w:w="801" w:type="dxa"/>
                  <w:vAlign w:val="center"/>
                </w:tcPr>
                <w:p w14:paraId="79F4718F" w14:textId="22B2F175" w:rsidR="00814793" w:rsidRDefault="0047296C">
                  <w:pPr>
                    <w:pStyle w:val="Heading1"/>
                    <w:spacing w:before="0"/>
                    <w:jc w:val="center"/>
                    <w:rPr>
                      <w:rFonts w:asciiTheme="minorHAnsi" w:hAnsiTheme="minorHAnsi"/>
                      <w:b w:val="0"/>
                      <w:color w:val="auto"/>
                      <w:sz w:val="13"/>
                      <w:szCs w:val="13"/>
                      <w:lang w:val="en-US"/>
                    </w:rPr>
                  </w:pPr>
                  <w:r>
                    <w:rPr>
                      <w:rFonts w:asciiTheme="minorHAnsi" w:hAnsiTheme="minorHAnsi"/>
                      <w:b w:val="0"/>
                      <w:color w:val="auto"/>
                      <w:sz w:val="13"/>
                      <w:szCs w:val="13"/>
                      <w:lang w:val="en-US"/>
                    </w:rPr>
                    <w:t>-2.30%</w:t>
                  </w:r>
                </w:p>
              </w:tc>
              <w:tc>
                <w:tcPr>
                  <w:tcW w:w="713" w:type="dxa"/>
                  <w:vAlign w:val="center"/>
                </w:tcPr>
                <w:p w14:paraId="31B58186" w14:textId="36ABBB97" w:rsidR="00814793" w:rsidRDefault="00237938">
                  <w:pPr>
                    <w:pStyle w:val="Heading1"/>
                    <w:spacing w:before="0"/>
                    <w:jc w:val="center"/>
                    <w:rPr>
                      <w:rFonts w:asciiTheme="minorHAnsi" w:hAnsiTheme="minorHAnsi"/>
                      <w:b w:val="0"/>
                      <w:color w:val="auto"/>
                      <w:sz w:val="13"/>
                      <w:szCs w:val="13"/>
                      <w:lang w:val="en-US"/>
                    </w:rPr>
                  </w:pPr>
                  <w:r>
                    <w:rPr>
                      <w:rFonts w:asciiTheme="minorHAnsi" w:hAnsiTheme="minorHAnsi"/>
                      <w:b w:val="0"/>
                      <w:color w:val="auto"/>
                      <w:sz w:val="13"/>
                      <w:szCs w:val="13"/>
                      <w:lang w:val="en-US"/>
                    </w:rPr>
                    <w:t>0.18%</w:t>
                  </w:r>
                </w:p>
              </w:tc>
              <w:tc>
                <w:tcPr>
                  <w:tcW w:w="857" w:type="dxa"/>
                  <w:vAlign w:val="center"/>
                </w:tcPr>
                <w:p w14:paraId="1B36ADDA" w14:textId="352FA2F7" w:rsidR="00814793" w:rsidRDefault="00237938" w:rsidP="00FC6E0C">
                  <w:pPr>
                    <w:pStyle w:val="Heading1"/>
                    <w:spacing w:before="0"/>
                    <w:jc w:val="center"/>
                    <w:rPr>
                      <w:rFonts w:asciiTheme="minorHAnsi" w:hAnsiTheme="minorHAnsi"/>
                      <w:color w:val="auto"/>
                      <w:sz w:val="13"/>
                      <w:szCs w:val="13"/>
                      <w:lang w:val="en-US"/>
                    </w:rPr>
                  </w:pPr>
                  <w:r>
                    <w:rPr>
                      <w:rFonts w:asciiTheme="minorHAnsi" w:hAnsiTheme="minorHAnsi"/>
                      <w:color w:val="auto"/>
                      <w:sz w:val="13"/>
                      <w:szCs w:val="13"/>
                      <w:lang w:val="en-US"/>
                    </w:rPr>
                    <w:t>2.02%</w:t>
                  </w:r>
                  <w:r w:rsidR="00445A3D">
                    <w:rPr>
                      <w:rFonts w:asciiTheme="minorHAnsi" w:hAnsiTheme="minorHAnsi"/>
                      <w:color w:val="auto"/>
                      <w:sz w:val="13"/>
                      <w:szCs w:val="13"/>
                      <w:lang w:val="en-US"/>
                    </w:rPr>
                    <w:t>%</w:t>
                  </w:r>
                </w:p>
              </w:tc>
            </w:tr>
            <w:tr w:rsidR="00161A5A" w:rsidRPr="00D70A30" w14:paraId="1657D531" w14:textId="77777777">
              <w:trPr>
                <w:trHeight w:val="193"/>
              </w:trPr>
              <w:tc>
                <w:tcPr>
                  <w:tcW w:w="534" w:type="dxa"/>
                  <w:shd w:val="clear" w:color="auto" w:fill="D9D9D9" w:themeFill="background1" w:themeFillShade="D9"/>
                  <w:vAlign w:val="center"/>
                </w:tcPr>
                <w:p w14:paraId="032FCE22" w14:textId="35DB2618" w:rsidR="00161A5A" w:rsidRDefault="00161A5A">
                  <w:pPr>
                    <w:pStyle w:val="Heading1"/>
                    <w:spacing w:before="0"/>
                    <w:jc w:val="center"/>
                    <w:rPr>
                      <w:rFonts w:asciiTheme="minorHAnsi" w:hAnsiTheme="minorHAnsi"/>
                      <w:color w:val="auto"/>
                      <w:sz w:val="13"/>
                      <w:szCs w:val="13"/>
                      <w:lang w:val="en-US"/>
                    </w:rPr>
                  </w:pPr>
                  <w:r>
                    <w:rPr>
                      <w:rFonts w:asciiTheme="minorHAnsi" w:hAnsiTheme="minorHAnsi"/>
                      <w:color w:val="auto"/>
                      <w:sz w:val="13"/>
                      <w:szCs w:val="13"/>
                      <w:lang w:val="en-US"/>
                    </w:rPr>
                    <w:t>2026</w:t>
                  </w:r>
                </w:p>
              </w:tc>
              <w:tc>
                <w:tcPr>
                  <w:tcW w:w="767" w:type="dxa"/>
                  <w:vAlign w:val="center"/>
                </w:tcPr>
                <w:p w14:paraId="5C03B0A9" w14:textId="41E422F9" w:rsidR="00161A5A" w:rsidRDefault="00161A5A">
                  <w:pPr>
                    <w:pStyle w:val="Heading1"/>
                    <w:spacing w:before="0"/>
                    <w:jc w:val="center"/>
                    <w:rPr>
                      <w:rFonts w:asciiTheme="minorHAnsi" w:hAnsiTheme="minorHAnsi"/>
                      <w:b w:val="0"/>
                      <w:color w:val="auto"/>
                      <w:sz w:val="13"/>
                      <w:szCs w:val="13"/>
                      <w:lang w:val="en-US"/>
                    </w:rPr>
                  </w:pPr>
                  <w:r>
                    <w:rPr>
                      <w:rFonts w:asciiTheme="minorHAnsi" w:hAnsiTheme="minorHAnsi"/>
                      <w:b w:val="0"/>
                      <w:color w:val="auto"/>
                      <w:sz w:val="13"/>
                      <w:szCs w:val="13"/>
                      <w:lang w:val="en-US"/>
                    </w:rPr>
                    <w:t>2.24%</w:t>
                  </w:r>
                </w:p>
              </w:tc>
              <w:tc>
                <w:tcPr>
                  <w:tcW w:w="660" w:type="dxa"/>
                  <w:vAlign w:val="center"/>
                </w:tcPr>
                <w:p w14:paraId="149D3A16" w14:textId="6A3F3EE0" w:rsidR="00161A5A" w:rsidRDefault="000236D4">
                  <w:pPr>
                    <w:pStyle w:val="Heading1"/>
                    <w:spacing w:before="0"/>
                    <w:jc w:val="center"/>
                    <w:rPr>
                      <w:rFonts w:asciiTheme="minorHAnsi" w:hAnsiTheme="minorHAnsi"/>
                      <w:b w:val="0"/>
                      <w:color w:val="auto"/>
                      <w:sz w:val="13"/>
                      <w:szCs w:val="13"/>
                      <w:lang w:val="en-US"/>
                    </w:rPr>
                  </w:pPr>
                  <w:r>
                    <w:rPr>
                      <w:rFonts w:asciiTheme="minorHAnsi" w:hAnsiTheme="minorHAnsi"/>
                      <w:b w:val="0"/>
                      <w:color w:val="auto"/>
                      <w:sz w:val="13"/>
                      <w:szCs w:val="13"/>
                      <w:lang w:val="en-US"/>
                    </w:rPr>
                    <w:t>5.09%</w:t>
                  </w:r>
                </w:p>
              </w:tc>
              <w:tc>
                <w:tcPr>
                  <w:tcW w:w="640" w:type="dxa"/>
                  <w:vAlign w:val="center"/>
                </w:tcPr>
                <w:p w14:paraId="6ECA1DAE" w14:textId="4ED246D2" w:rsidR="00161A5A" w:rsidRDefault="00E511AB">
                  <w:pPr>
                    <w:pStyle w:val="Heading1"/>
                    <w:spacing w:before="0"/>
                    <w:jc w:val="center"/>
                    <w:rPr>
                      <w:rFonts w:asciiTheme="minorHAnsi" w:hAnsiTheme="minorHAnsi"/>
                      <w:b w:val="0"/>
                      <w:color w:val="auto"/>
                      <w:sz w:val="13"/>
                      <w:szCs w:val="13"/>
                      <w:lang w:val="en-US"/>
                    </w:rPr>
                  </w:pPr>
                  <w:r>
                    <w:rPr>
                      <w:rFonts w:asciiTheme="minorHAnsi" w:hAnsiTheme="minorHAnsi"/>
                      <w:b w:val="0"/>
                      <w:color w:val="auto"/>
                      <w:sz w:val="13"/>
                      <w:szCs w:val="13"/>
                      <w:lang w:val="en-US"/>
                    </w:rPr>
                    <w:t>-6.86%</w:t>
                  </w:r>
                </w:p>
              </w:tc>
              <w:tc>
                <w:tcPr>
                  <w:tcW w:w="650" w:type="dxa"/>
                  <w:vAlign w:val="center"/>
                </w:tcPr>
                <w:p w14:paraId="5AE1852F" w14:textId="47C8A98F" w:rsidR="00161A5A" w:rsidRDefault="00D10A98">
                  <w:pPr>
                    <w:pStyle w:val="Heading1"/>
                    <w:spacing w:before="0"/>
                    <w:jc w:val="center"/>
                    <w:rPr>
                      <w:rFonts w:asciiTheme="minorHAnsi" w:hAnsiTheme="minorHAnsi"/>
                      <w:b w:val="0"/>
                      <w:color w:val="auto"/>
                      <w:sz w:val="13"/>
                      <w:szCs w:val="13"/>
                      <w:lang w:val="en-US"/>
                    </w:rPr>
                  </w:pPr>
                  <w:r>
                    <w:rPr>
                      <w:rFonts w:asciiTheme="minorHAnsi" w:hAnsiTheme="minorHAnsi"/>
                      <w:b w:val="0"/>
                      <w:color w:val="auto"/>
                      <w:sz w:val="13"/>
                      <w:szCs w:val="13"/>
                      <w:lang w:val="en-US"/>
                    </w:rPr>
                    <w:t>6.11%</w:t>
                  </w:r>
                </w:p>
              </w:tc>
              <w:tc>
                <w:tcPr>
                  <w:tcW w:w="650" w:type="dxa"/>
                  <w:vAlign w:val="center"/>
                </w:tcPr>
                <w:p w14:paraId="18BF4859" w14:textId="0E5D47AD" w:rsidR="00161A5A" w:rsidRDefault="001777FA">
                  <w:pPr>
                    <w:pStyle w:val="Heading1"/>
                    <w:spacing w:before="0"/>
                    <w:jc w:val="center"/>
                    <w:rPr>
                      <w:rFonts w:asciiTheme="minorHAnsi" w:hAnsiTheme="minorHAnsi"/>
                      <w:b w:val="0"/>
                      <w:color w:val="auto"/>
                      <w:sz w:val="13"/>
                      <w:szCs w:val="13"/>
                      <w:lang w:val="en-US"/>
                    </w:rPr>
                  </w:pPr>
                  <w:r>
                    <w:rPr>
                      <w:rFonts w:asciiTheme="minorHAnsi" w:hAnsiTheme="minorHAnsi"/>
                      <w:b w:val="0"/>
                      <w:color w:val="auto"/>
                      <w:sz w:val="13"/>
                      <w:szCs w:val="13"/>
                      <w:lang w:val="en-US"/>
                    </w:rPr>
                    <w:t>5.20%</w:t>
                  </w:r>
                </w:p>
              </w:tc>
              <w:tc>
                <w:tcPr>
                  <w:tcW w:w="650" w:type="dxa"/>
                  <w:vAlign w:val="center"/>
                </w:tcPr>
                <w:p w14:paraId="7D4743DD" w14:textId="4573A514" w:rsidR="00161A5A" w:rsidRDefault="0094228A">
                  <w:pPr>
                    <w:pStyle w:val="Heading1"/>
                    <w:spacing w:before="0"/>
                    <w:jc w:val="center"/>
                    <w:rPr>
                      <w:rFonts w:asciiTheme="minorHAnsi" w:hAnsiTheme="minorHAnsi"/>
                      <w:b w:val="0"/>
                      <w:color w:val="auto"/>
                      <w:sz w:val="13"/>
                      <w:szCs w:val="13"/>
                      <w:lang w:val="en-US"/>
                    </w:rPr>
                  </w:pPr>
                  <w:r>
                    <w:rPr>
                      <w:rFonts w:asciiTheme="minorHAnsi" w:hAnsiTheme="minorHAnsi"/>
                      <w:b w:val="0"/>
                      <w:color w:val="auto"/>
                      <w:sz w:val="13"/>
                      <w:szCs w:val="13"/>
                      <w:lang w:val="en-US"/>
                    </w:rPr>
                    <w:t>1.42%</w:t>
                  </w:r>
                </w:p>
              </w:tc>
              <w:tc>
                <w:tcPr>
                  <w:tcW w:w="650" w:type="dxa"/>
                  <w:vAlign w:val="center"/>
                </w:tcPr>
                <w:p w14:paraId="320364B4" w14:textId="5F0C285B" w:rsidR="00161A5A" w:rsidRDefault="00B72E48">
                  <w:pPr>
                    <w:pStyle w:val="Heading1"/>
                    <w:spacing w:before="0"/>
                    <w:jc w:val="center"/>
                    <w:rPr>
                      <w:rFonts w:asciiTheme="minorHAnsi" w:hAnsiTheme="minorHAnsi"/>
                      <w:b w:val="0"/>
                      <w:color w:val="auto"/>
                      <w:sz w:val="13"/>
                      <w:szCs w:val="13"/>
                      <w:lang w:val="en-US"/>
                    </w:rPr>
                  </w:pPr>
                  <w:r w:rsidRPr="00B72E48">
                    <w:rPr>
                      <w:rFonts w:asciiTheme="minorHAnsi" w:hAnsiTheme="minorHAnsi"/>
                      <w:b w:val="0"/>
                      <w:color w:val="auto"/>
                      <w:sz w:val="13"/>
                      <w:szCs w:val="13"/>
                      <w:lang w:val="en-US"/>
                    </w:rPr>
                    <w:t>-1.11%</w:t>
                  </w:r>
                </w:p>
              </w:tc>
              <w:tc>
                <w:tcPr>
                  <w:tcW w:w="650" w:type="dxa"/>
                  <w:vAlign w:val="center"/>
                </w:tcPr>
                <w:p w14:paraId="473B2B20" w14:textId="77777777" w:rsidR="00161A5A" w:rsidRDefault="00161A5A">
                  <w:pPr>
                    <w:pStyle w:val="Heading1"/>
                    <w:spacing w:before="0"/>
                    <w:jc w:val="center"/>
                    <w:rPr>
                      <w:rFonts w:asciiTheme="minorHAnsi" w:hAnsiTheme="minorHAnsi"/>
                      <w:b w:val="0"/>
                      <w:color w:val="auto"/>
                      <w:sz w:val="13"/>
                      <w:szCs w:val="13"/>
                      <w:lang w:val="en-US"/>
                    </w:rPr>
                  </w:pPr>
                </w:p>
              </w:tc>
              <w:tc>
                <w:tcPr>
                  <w:tcW w:w="650" w:type="dxa"/>
                  <w:vAlign w:val="center"/>
                </w:tcPr>
                <w:p w14:paraId="43F24D61" w14:textId="77777777" w:rsidR="00161A5A" w:rsidRDefault="00161A5A">
                  <w:pPr>
                    <w:pStyle w:val="Heading1"/>
                    <w:spacing w:before="0"/>
                    <w:jc w:val="center"/>
                    <w:rPr>
                      <w:rFonts w:asciiTheme="minorHAnsi" w:hAnsiTheme="minorHAnsi"/>
                      <w:b w:val="0"/>
                      <w:color w:val="auto"/>
                      <w:sz w:val="13"/>
                      <w:szCs w:val="13"/>
                      <w:lang w:val="en-US"/>
                    </w:rPr>
                  </w:pPr>
                </w:p>
              </w:tc>
              <w:tc>
                <w:tcPr>
                  <w:tcW w:w="650" w:type="dxa"/>
                  <w:vAlign w:val="center"/>
                </w:tcPr>
                <w:p w14:paraId="418F6B83" w14:textId="77777777" w:rsidR="00161A5A" w:rsidRDefault="00161A5A">
                  <w:pPr>
                    <w:pStyle w:val="Heading1"/>
                    <w:spacing w:before="0"/>
                    <w:jc w:val="center"/>
                    <w:rPr>
                      <w:rFonts w:asciiTheme="minorHAnsi" w:hAnsiTheme="minorHAnsi"/>
                      <w:b w:val="0"/>
                      <w:color w:val="auto"/>
                      <w:sz w:val="13"/>
                      <w:szCs w:val="13"/>
                      <w:lang w:val="en-US"/>
                    </w:rPr>
                  </w:pPr>
                </w:p>
              </w:tc>
              <w:tc>
                <w:tcPr>
                  <w:tcW w:w="801" w:type="dxa"/>
                  <w:vAlign w:val="center"/>
                </w:tcPr>
                <w:p w14:paraId="361C624C" w14:textId="77777777" w:rsidR="00161A5A" w:rsidRDefault="00161A5A">
                  <w:pPr>
                    <w:pStyle w:val="Heading1"/>
                    <w:spacing w:before="0"/>
                    <w:jc w:val="center"/>
                    <w:rPr>
                      <w:rFonts w:asciiTheme="minorHAnsi" w:hAnsiTheme="minorHAnsi"/>
                      <w:b w:val="0"/>
                      <w:color w:val="auto"/>
                      <w:sz w:val="13"/>
                      <w:szCs w:val="13"/>
                      <w:lang w:val="en-US"/>
                    </w:rPr>
                  </w:pPr>
                </w:p>
              </w:tc>
              <w:tc>
                <w:tcPr>
                  <w:tcW w:w="713" w:type="dxa"/>
                  <w:vAlign w:val="center"/>
                </w:tcPr>
                <w:p w14:paraId="79F3D20D" w14:textId="77777777" w:rsidR="00161A5A" w:rsidRDefault="00161A5A">
                  <w:pPr>
                    <w:pStyle w:val="Heading1"/>
                    <w:spacing w:before="0"/>
                    <w:jc w:val="center"/>
                    <w:rPr>
                      <w:rFonts w:asciiTheme="minorHAnsi" w:hAnsiTheme="minorHAnsi"/>
                      <w:b w:val="0"/>
                      <w:color w:val="auto"/>
                      <w:sz w:val="13"/>
                      <w:szCs w:val="13"/>
                      <w:lang w:val="en-US"/>
                    </w:rPr>
                  </w:pPr>
                </w:p>
              </w:tc>
              <w:tc>
                <w:tcPr>
                  <w:tcW w:w="857" w:type="dxa"/>
                  <w:vAlign w:val="center"/>
                </w:tcPr>
                <w:p w14:paraId="19CE31C3" w14:textId="7ABCBAF3" w:rsidR="00161A5A" w:rsidRDefault="00B72E48" w:rsidP="00FC6E0C">
                  <w:pPr>
                    <w:pStyle w:val="Heading1"/>
                    <w:spacing w:before="0"/>
                    <w:jc w:val="center"/>
                    <w:rPr>
                      <w:rFonts w:asciiTheme="minorHAnsi" w:hAnsiTheme="minorHAnsi"/>
                      <w:color w:val="auto"/>
                      <w:sz w:val="13"/>
                      <w:szCs w:val="13"/>
                      <w:lang w:val="en-US"/>
                    </w:rPr>
                  </w:pPr>
                  <w:r w:rsidRPr="00B72E48">
                    <w:rPr>
                      <w:rFonts w:asciiTheme="minorHAnsi" w:hAnsiTheme="minorHAnsi"/>
                      <w:color w:val="auto"/>
                      <w:sz w:val="13"/>
                      <w:szCs w:val="13"/>
                      <w:lang w:val="en-US"/>
                    </w:rPr>
                    <w:t>12.03%</w:t>
                  </w:r>
                </w:p>
              </w:tc>
            </w:tr>
          </w:tbl>
          <w:p w14:paraId="46FEDD0E" w14:textId="77777777" w:rsidR="00825411" w:rsidRDefault="00825411" w:rsidP="00C4745C">
            <w:pPr>
              <w:pStyle w:val="Heading1"/>
              <w:spacing w:before="0"/>
              <w:rPr>
                <w:rFonts w:asciiTheme="minorHAnsi" w:hAnsiTheme="minorHAnsi"/>
                <w:color w:val="C00000"/>
                <w:sz w:val="24"/>
                <w:lang w:val="en-US"/>
              </w:rPr>
            </w:pPr>
            <w:r w:rsidRPr="00394C4C">
              <w:rPr>
                <w:rFonts w:asciiTheme="minorHAnsi" w:hAnsiTheme="minorHAnsi"/>
                <w:color w:val="C00000"/>
                <w:sz w:val="24"/>
                <w:lang w:val="en-US"/>
              </w:rPr>
              <w:t>Figures &amp; Ratios</w:t>
            </w:r>
          </w:p>
          <w:p w14:paraId="4BA0874D" w14:textId="77777777" w:rsidR="005715AE" w:rsidRDefault="005715AE" w:rsidP="005715AE">
            <w:pPr>
              <w:jc w:val="center"/>
              <w:rPr>
                <w:iCs/>
                <w:sz w:val="14"/>
                <w:szCs w:val="14"/>
                <w:lang w:val="en-GB"/>
              </w:rPr>
            </w:pPr>
            <w:r w:rsidRPr="00601B20">
              <w:rPr>
                <w:iCs/>
                <w:noProof/>
                <w:sz w:val="14"/>
                <w:szCs w:val="14"/>
                <w:lang w:val="en-GB"/>
              </w:rPr>
              <w:drawing>
                <wp:inline distT="0" distB="0" distL="0" distR="0" wp14:anchorId="31A259E3" wp14:editId="00504838">
                  <wp:extent cx="5929628" cy="1518919"/>
                  <wp:effectExtent l="0" t="0" r="1905" b="5715"/>
                  <wp:docPr id="17710639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063912" name="Picture 2"/>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929628" cy="1518919"/>
                          </a:xfrm>
                          <a:prstGeom prst="rect">
                            <a:avLst/>
                          </a:prstGeom>
                          <a:noFill/>
                          <a:ln>
                            <a:noFill/>
                          </a:ln>
                        </pic:spPr>
                      </pic:pic>
                    </a:graphicData>
                  </a:graphic>
                </wp:inline>
              </w:drawing>
            </w:r>
          </w:p>
          <w:p w14:paraId="48FADE8E" w14:textId="3A9AD966" w:rsidR="005715AE" w:rsidRPr="005715AE" w:rsidRDefault="005715AE" w:rsidP="005715AE">
            <w:pPr>
              <w:rPr>
                <w:lang w:val="en-US"/>
              </w:rPr>
            </w:pPr>
            <w:r w:rsidRPr="00601B20">
              <w:rPr>
                <w:noProof/>
                <w:lang w:val="en-US" w:eastAsia="de-CH"/>
              </w:rPr>
              <w:drawing>
                <wp:inline distT="0" distB="0" distL="0" distR="0" wp14:anchorId="2ADE4D68" wp14:editId="2D4C5AD6">
                  <wp:extent cx="2550165" cy="1941104"/>
                  <wp:effectExtent l="0" t="0" r="2540" b="2540"/>
                  <wp:docPr id="15830926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092691" name="Picture 3"/>
                          <pic:cNvPicPr>
                            <a:picLocks noChangeAspect="1" noChangeArrowheads="1"/>
                          </pic:cNvPicPr>
                        </pic:nvPicPr>
                        <pic:blipFill>
                          <a:blip r:embed="rId11">
                            <a:extLst>
                              <a:ext uri="{96DAC541-7B7A-43D3-8B79-37D633B846F1}">
                                <asvg:svgBlip xmlns:asvg="http://schemas.microsoft.com/office/drawing/2016/SVG/main" r:embed="rId12"/>
                              </a:ext>
                            </a:extLst>
                          </a:blip>
                          <a:stretch>
                            <a:fillRect/>
                          </a:stretch>
                        </pic:blipFill>
                        <pic:spPr bwMode="auto">
                          <a:xfrm>
                            <a:off x="0" y="0"/>
                            <a:ext cx="2550165" cy="1941104"/>
                          </a:xfrm>
                          <a:prstGeom prst="rect">
                            <a:avLst/>
                          </a:prstGeom>
                        </pic:spPr>
                      </pic:pic>
                    </a:graphicData>
                  </a:graphic>
                </wp:inline>
              </w:drawing>
            </w:r>
            <w:r w:rsidRPr="005B0F2F">
              <w:rPr>
                <w:noProof/>
                <w:lang w:val="en-US" w:eastAsia="de-CH"/>
              </w:rPr>
              <w:t xml:space="preserve"> </w:t>
            </w:r>
            <w:r>
              <w:rPr>
                <w:noProof/>
                <w14:ligatures w14:val="standardContextual"/>
              </w:rPr>
              <w:t xml:space="preserve">  </w:t>
            </w:r>
            <w:r>
              <w:rPr>
                <w:noProof/>
                <w14:ligatures w14:val="standardContextual"/>
              </w:rPr>
              <w:drawing>
                <wp:inline distT="0" distB="0" distL="0" distR="0" wp14:anchorId="6545853A" wp14:editId="3714F8D5">
                  <wp:extent cx="2819400" cy="1856899"/>
                  <wp:effectExtent l="0" t="0" r="0" b="0"/>
                  <wp:docPr id="1126312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31235" name="Picture 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819400" cy="1856899"/>
                          </a:xfrm>
                          <a:prstGeom prst="rect">
                            <a:avLst/>
                          </a:prstGeom>
                          <a:noFill/>
                        </pic:spPr>
                      </pic:pic>
                    </a:graphicData>
                  </a:graphic>
                </wp:inline>
              </w:drawing>
            </w:r>
          </w:p>
        </w:tc>
        <w:tc>
          <w:tcPr>
            <w:tcW w:w="10318" w:type="dxa"/>
          </w:tcPr>
          <w:p w14:paraId="56D22C80" w14:textId="77777777" w:rsidR="00825411" w:rsidRDefault="00825411">
            <w:pPr>
              <w:pStyle w:val="Heading1"/>
              <w:spacing w:before="0"/>
              <w:jc w:val="center"/>
              <w:rPr>
                <w:rFonts w:asciiTheme="minorHAnsi" w:hAnsiTheme="minorHAnsi"/>
                <w:color w:val="auto"/>
                <w:sz w:val="15"/>
                <w:szCs w:val="15"/>
                <w:lang w:val="en-US"/>
              </w:rPr>
            </w:pPr>
          </w:p>
          <w:p w14:paraId="5B38B6A4" w14:textId="77777777" w:rsidR="0031111E" w:rsidRPr="0031111E" w:rsidRDefault="0031111E" w:rsidP="0031111E">
            <w:pPr>
              <w:rPr>
                <w:lang w:val="en-US"/>
              </w:rPr>
            </w:pPr>
          </w:p>
        </w:tc>
      </w:tr>
    </w:tbl>
    <w:p w14:paraId="081A542B" w14:textId="77777777" w:rsidR="00E337E2" w:rsidRDefault="00E337E2"/>
    <w:tbl>
      <w:tblPr>
        <w:tblStyle w:val="TableGrid"/>
        <w:tblW w:w="978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F2F2F2" w:themeFill="background1" w:themeFillShade="F2"/>
        <w:tblLayout w:type="fixed"/>
        <w:tblLook w:val="04A0" w:firstRow="1" w:lastRow="0" w:firstColumn="1" w:lastColumn="0" w:noHBand="0" w:noVBand="1"/>
      </w:tblPr>
      <w:tblGrid>
        <w:gridCol w:w="5529"/>
        <w:gridCol w:w="4252"/>
      </w:tblGrid>
      <w:tr w:rsidR="00825411" w:rsidRPr="00835938" w14:paraId="4B1A40DE" w14:textId="77777777" w:rsidTr="00E337E2">
        <w:trPr>
          <w:trHeight w:val="317"/>
        </w:trPr>
        <w:tc>
          <w:tcPr>
            <w:tcW w:w="5529" w:type="dxa"/>
            <w:tcBorders>
              <w:top w:val="nil"/>
              <w:left w:val="nil"/>
              <w:bottom w:val="nil"/>
              <w:right w:val="nil"/>
            </w:tcBorders>
            <w:shd w:val="clear" w:color="auto" w:fill="F2F2F2" w:themeFill="background1" w:themeFillShade="F2"/>
          </w:tcPr>
          <w:p w14:paraId="7BDFEF4A" w14:textId="77777777" w:rsidR="00825411" w:rsidRDefault="00825411">
            <w:pPr>
              <w:spacing w:after="0"/>
              <w:rPr>
                <w:sz w:val="10"/>
                <w:lang w:val="en-US"/>
              </w:rPr>
            </w:pPr>
          </w:p>
          <w:p w14:paraId="6D57E18C" w14:textId="35821CA6" w:rsidR="00825411" w:rsidRPr="003D16EC" w:rsidRDefault="00825411">
            <w:pPr>
              <w:spacing w:after="0"/>
              <w:rPr>
                <w:b/>
                <w:color w:val="C00000"/>
                <w:sz w:val="24"/>
                <w:lang w:val="en-US"/>
              </w:rPr>
            </w:pPr>
            <w:r w:rsidRPr="00835938">
              <w:rPr>
                <w:b/>
                <w:color w:val="C00000"/>
                <w:sz w:val="24"/>
                <w:lang w:val="en-US"/>
              </w:rPr>
              <w:t>Certificate Terms</w:t>
            </w:r>
          </w:p>
          <w:p w14:paraId="5F74AB8C" w14:textId="77777777" w:rsidR="00825411" w:rsidRPr="00493A15" w:rsidRDefault="00825411">
            <w:pPr>
              <w:spacing w:after="0"/>
              <w:rPr>
                <w:sz w:val="18"/>
                <w:szCs w:val="18"/>
                <w:lang w:val="en-US"/>
              </w:rPr>
            </w:pPr>
            <w:r w:rsidRPr="00493A15">
              <w:rPr>
                <w:sz w:val="18"/>
                <w:szCs w:val="18"/>
                <w:lang w:val="en-US"/>
              </w:rPr>
              <w:t xml:space="preserve">Issuer: UBS AG </w:t>
            </w:r>
          </w:p>
          <w:p w14:paraId="19E60516" w14:textId="77777777" w:rsidR="00825411" w:rsidRPr="00493A15" w:rsidRDefault="00825411">
            <w:pPr>
              <w:spacing w:after="0"/>
              <w:rPr>
                <w:sz w:val="18"/>
                <w:szCs w:val="18"/>
                <w:lang w:val="en-US"/>
              </w:rPr>
            </w:pPr>
            <w:r w:rsidRPr="00493A15">
              <w:rPr>
                <w:sz w:val="18"/>
                <w:szCs w:val="18"/>
                <w:lang w:val="en-US"/>
              </w:rPr>
              <w:t>Advisor: Aspermont Capital AG</w:t>
            </w:r>
          </w:p>
          <w:p w14:paraId="285DCDB3" w14:textId="77777777" w:rsidR="00825411" w:rsidRPr="00493A15" w:rsidRDefault="00825411">
            <w:pPr>
              <w:spacing w:after="0"/>
              <w:rPr>
                <w:sz w:val="18"/>
                <w:szCs w:val="18"/>
                <w:lang w:val="en-US"/>
              </w:rPr>
            </w:pPr>
            <w:r w:rsidRPr="00493A15">
              <w:rPr>
                <w:sz w:val="18"/>
                <w:szCs w:val="18"/>
                <w:lang w:val="en-US"/>
              </w:rPr>
              <w:t>ISIN: CH0215884732</w:t>
            </w:r>
          </w:p>
          <w:p w14:paraId="31A9020D" w14:textId="77777777" w:rsidR="00825411" w:rsidRPr="00493A15" w:rsidRDefault="00825411">
            <w:pPr>
              <w:spacing w:after="0"/>
              <w:rPr>
                <w:sz w:val="18"/>
                <w:szCs w:val="18"/>
                <w:lang w:val="en-US"/>
              </w:rPr>
            </w:pPr>
            <w:r w:rsidRPr="00493A15">
              <w:rPr>
                <w:sz w:val="18"/>
                <w:szCs w:val="18"/>
                <w:lang w:val="en-US"/>
              </w:rPr>
              <w:t>Profile: Tracker-Certificate (SVSP-Code: 1300)</w:t>
            </w:r>
          </w:p>
          <w:p w14:paraId="3BC08523" w14:textId="77777777" w:rsidR="00825411" w:rsidRPr="00835938" w:rsidRDefault="00825411">
            <w:pPr>
              <w:spacing w:after="0"/>
              <w:rPr>
                <w:sz w:val="20"/>
                <w:lang w:val="en-US"/>
              </w:rPr>
            </w:pPr>
            <w:r w:rsidRPr="00493A15">
              <w:rPr>
                <w:sz w:val="18"/>
                <w:szCs w:val="18"/>
                <w:lang w:val="en-US"/>
              </w:rPr>
              <w:t>Launch date: June 2013</w:t>
            </w:r>
          </w:p>
        </w:tc>
        <w:tc>
          <w:tcPr>
            <w:tcW w:w="4252" w:type="dxa"/>
            <w:tcBorders>
              <w:top w:val="nil"/>
              <w:left w:val="nil"/>
              <w:bottom w:val="nil"/>
              <w:right w:val="nil"/>
            </w:tcBorders>
            <w:shd w:val="clear" w:color="auto" w:fill="F2F2F2" w:themeFill="background1" w:themeFillShade="F2"/>
          </w:tcPr>
          <w:p w14:paraId="63C07671" w14:textId="77777777" w:rsidR="00825411" w:rsidRPr="00835938" w:rsidRDefault="00825411">
            <w:pPr>
              <w:spacing w:after="0"/>
              <w:rPr>
                <w:sz w:val="10"/>
                <w:lang w:val="en-US"/>
              </w:rPr>
            </w:pPr>
          </w:p>
          <w:p w14:paraId="5416688F" w14:textId="77777777" w:rsidR="00825411" w:rsidRDefault="00825411">
            <w:pPr>
              <w:spacing w:after="0"/>
              <w:rPr>
                <w:sz w:val="18"/>
                <w:szCs w:val="18"/>
                <w:lang w:val="en-US"/>
              </w:rPr>
            </w:pPr>
          </w:p>
          <w:p w14:paraId="7AB61E3F" w14:textId="77777777" w:rsidR="00825411" w:rsidRPr="00493A15" w:rsidRDefault="00825411">
            <w:pPr>
              <w:spacing w:after="0"/>
              <w:rPr>
                <w:sz w:val="18"/>
                <w:szCs w:val="18"/>
                <w:lang w:val="en-US"/>
              </w:rPr>
            </w:pPr>
            <w:r w:rsidRPr="00493A15">
              <w:rPr>
                <w:sz w:val="18"/>
                <w:szCs w:val="18"/>
                <w:lang w:val="en-US"/>
              </w:rPr>
              <w:t>Currency: EUR</w:t>
            </w:r>
          </w:p>
          <w:p w14:paraId="37B35118" w14:textId="77777777" w:rsidR="00825411" w:rsidRPr="00493A15" w:rsidRDefault="00825411">
            <w:pPr>
              <w:spacing w:after="0"/>
              <w:rPr>
                <w:sz w:val="18"/>
                <w:szCs w:val="18"/>
                <w:lang w:val="en-US"/>
              </w:rPr>
            </w:pPr>
            <w:r w:rsidRPr="00493A15">
              <w:rPr>
                <w:sz w:val="18"/>
                <w:szCs w:val="18"/>
                <w:lang w:val="en-US"/>
              </w:rPr>
              <w:t>Denomination: EUR 100 per Unit</w:t>
            </w:r>
          </w:p>
          <w:p w14:paraId="47A10C8E" w14:textId="289389C6" w:rsidR="0032060D" w:rsidRPr="00493A15" w:rsidRDefault="00825411">
            <w:pPr>
              <w:spacing w:after="0"/>
              <w:rPr>
                <w:sz w:val="18"/>
                <w:szCs w:val="18"/>
                <w:lang w:val="en-US"/>
              </w:rPr>
            </w:pPr>
            <w:r w:rsidRPr="00493A15">
              <w:rPr>
                <w:sz w:val="18"/>
                <w:szCs w:val="18"/>
                <w:lang w:val="en-US"/>
              </w:rPr>
              <w:t>Maturity: June 12, 2018 (</w:t>
            </w:r>
            <w:r>
              <w:rPr>
                <w:sz w:val="18"/>
                <w:szCs w:val="18"/>
                <w:lang w:val="en-US"/>
              </w:rPr>
              <w:t>e</w:t>
            </w:r>
            <w:r w:rsidRPr="00493A15">
              <w:rPr>
                <w:sz w:val="18"/>
                <w:szCs w:val="18"/>
                <w:lang w:val="en-US"/>
              </w:rPr>
              <w:t>xtend</w:t>
            </w:r>
            <w:r>
              <w:rPr>
                <w:sz w:val="18"/>
                <w:szCs w:val="18"/>
                <w:lang w:val="en-US"/>
              </w:rPr>
              <w:t>ed to June 13, 2028</w:t>
            </w:r>
            <w:r w:rsidRPr="00493A15">
              <w:rPr>
                <w:sz w:val="18"/>
                <w:szCs w:val="18"/>
                <w:lang w:val="en-US"/>
              </w:rPr>
              <w:t>)</w:t>
            </w:r>
          </w:p>
          <w:p w14:paraId="701AB18C" w14:textId="77777777" w:rsidR="00825411" w:rsidRPr="00566A59" w:rsidRDefault="00825411">
            <w:pPr>
              <w:spacing w:after="0"/>
              <w:rPr>
                <w:color w:val="00B050"/>
                <w:sz w:val="18"/>
                <w:szCs w:val="18"/>
                <w:lang w:val="en-US"/>
              </w:rPr>
            </w:pPr>
            <w:r w:rsidRPr="00493A15">
              <w:rPr>
                <w:sz w:val="18"/>
                <w:szCs w:val="18"/>
                <w:lang w:val="en-US"/>
              </w:rPr>
              <w:t>Listing: SIX Swiss Exchange (SIX Structured)</w:t>
            </w:r>
          </w:p>
        </w:tc>
      </w:tr>
    </w:tbl>
    <w:p w14:paraId="1A22082F" w14:textId="76FB3195" w:rsidR="00401BD6" w:rsidRDefault="00401BD6" w:rsidP="008556CB"/>
    <w:sectPr w:rsidR="00401BD6" w:rsidSect="003A192C">
      <w:headerReference w:type="default" r:id="rId14"/>
      <w:footerReference w:type="default" r:id="rId15"/>
      <w:pgSz w:w="11906" w:h="16838" w:code="9"/>
      <w:pgMar w:top="1417" w:right="1274" w:bottom="1417" w:left="1417" w:header="720" w:footer="1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090E5" w14:textId="77777777" w:rsidR="00584A28" w:rsidRDefault="00584A28">
      <w:pPr>
        <w:spacing w:after="0" w:line="240" w:lineRule="auto"/>
      </w:pPr>
      <w:r>
        <w:separator/>
      </w:r>
    </w:p>
  </w:endnote>
  <w:endnote w:type="continuationSeparator" w:id="0">
    <w:p w14:paraId="501B13F7" w14:textId="77777777" w:rsidR="00584A28" w:rsidRDefault="00584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98906" w14:textId="77777777" w:rsidR="002F0246" w:rsidRPr="001A02FB" w:rsidRDefault="002F0246" w:rsidP="003A192C">
    <w:pPr>
      <w:spacing w:after="0"/>
      <w:jc w:val="both"/>
      <w:rPr>
        <w:b/>
        <w:bCs/>
        <w:sz w:val="10"/>
        <w:szCs w:val="10"/>
        <w:lang w:val="en-GB"/>
      </w:rPr>
    </w:pPr>
    <w:bookmarkStart w:id="1" w:name="_Hlk198802118"/>
    <w:bookmarkStart w:id="2" w:name="_Hlk198802107"/>
    <w:bookmarkStart w:id="3" w:name="_Hlk198802478"/>
    <w:bookmarkStart w:id="4" w:name="_Hlk198802479"/>
    <w:bookmarkStart w:id="5" w:name="_Hlk198804221"/>
    <w:bookmarkStart w:id="6" w:name="_Hlk198804222"/>
    <w:r w:rsidRPr="001A02FB">
      <w:rPr>
        <w:b/>
        <w:bCs/>
        <w:sz w:val="10"/>
        <w:szCs w:val="10"/>
        <w:lang w:val="en-GB"/>
      </w:rPr>
      <w:t>Disclaimer:</w:t>
    </w:r>
  </w:p>
  <w:bookmarkEnd w:id="1"/>
  <w:p w14:paraId="703A9474" w14:textId="77777777" w:rsidR="002F0246" w:rsidRPr="001A02FB" w:rsidRDefault="002F0246" w:rsidP="003A192C">
    <w:pPr>
      <w:spacing w:after="0"/>
      <w:jc w:val="both"/>
      <w:rPr>
        <w:sz w:val="10"/>
        <w:szCs w:val="10"/>
        <w:lang w:val="en-GB"/>
      </w:rPr>
    </w:pPr>
    <w:r w:rsidRPr="001A02FB">
      <w:rPr>
        <w:sz w:val="10"/>
        <w:szCs w:val="10"/>
        <w:lang w:val="en-GB"/>
      </w:rPr>
      <w:t>This document constitutes advertising within the meaning of article 68 of the FinSA and is intended for information only and for personal use. This document is intended only for professional respectively qualified investors and not for private investors.  </w:t>
    </w:r>
  </w:p>
  <w:p w14:paraId="125E07DA" w14:textId="77777777" w:rsidR="002F0246" w:rsidRPr="001A02FB" w:rsidRDefault="002F0246" w:rsidP="003A192C">
    <w:pPr>
      <w:spacing w:after="0"/>
      <w:jc w:val="both"/>
      <w:rPr>
        <w:sz w:val="10"/>
        <w:szCs w:val="10"/>
        <w:lang w:val="en-GB"/>
      </w:rPr>
    </w:pPr>
    <w:r w:rsidRPr="001A02FB">
      <w:rPr>
        <w:sz w:val="10"/>
        <w:szCs w:val="10"/>
        <w:lang w:val="en-GB"/>
      </w:rPr>
      <w:t> </w:t>
    </w:r>
    <w:r w:rsidRPr="001A02FB">
      <w:rPr>
        <w:b/>
        <w:bCs/>
        <w:sz w:val="10"/>
        <w:szCs w:val="10"/>
        <w:lang w:val="en-GB"/>
      </w:rPr>
      <w:t>Structured Products</w:t>
    </w:r>
    <w:r w:rsidRPr="001A02FB">
      <w:rPr>
        <w:sz w:val="10"/>
        <w:szCs w:val="10"/>
        <w:lang w:val="en-GB"/>
      </w:rPr>
      <w:t>: The financial products in this document do not qualify as units of a collective investment scheme in the meaning of Article 7 et seqq. of the Swiss Federal Act on Collective Investment Schemes (CISA) and are therefore neither supervised by the Swiss Financial Market Supervisory Authority (FINMA) nor registered with FINMA. Investors do not benefit from the specific investor protection provided under CISA. </w:t>
    </w:r>
  </w:p>
  <w:p w14:paraId="3C5FE447" w14:textId="77777777" w:rsidR="002F0246" w:rsidRPr="001A02FB" w:rsidRDefault="002F0246" w:rsidP="003A192C">
    <w:pPr>
      <w:jc w:val="both"/>
      <w:rPr>
        <w:sz w:val="10"/>
        <w:szCs w:val="10"/>
        <w:lang w:val="en-GB"/>
      </w:rPr>
    </w:pPr>
    <w:r w:rsidRPr="001A02FB">
      <w:rPr>
        <w:sz w:val="10"/>
        <w:szCs w:val="10"/>
        <w:lang w:val="en-GB"/>
      </w:rPr>
      <w:t>No action has been or will be taken to permit a public offering of the financial products or possession or distribution of any offering material in relation to the financial products in any jurisdiction, where such action for that purpose is required. The most important jurisdictions where the financial products may not be publicly distributed are EEA, UK, Hong Kong and Singapore. The financial products may not be offered or sold within the USA, or to or for the account or benefit of US persons (as defined in Regulation S). It does not constitute a public offering, an offer to sell or a solicitation to buy any financial instruments and it is not research. It is not intended to form investment, legal or tax advice and should not be used as the basis for investment decisions. Before making an investment decision, you should obtain professional advice. Past performance is no indicator or guarantee of the future performance of a financial instrument. Individual services and products are subject to legal restrictions in certain countries. They may therefore not be offered throughout the world without restriction. All information is made without warranty to its currency, accuracy, or completeness. Aspermont Capital AG reserves the right to alter its services, products or prices at any time without prior notice. Aspermont Capital AG rejects any and all liability for incorrect or incomplete information. No responsibility is assumed in case of unsolicited delivery. Complete or partial reproduction without the express consent of Aspermont Capital AG is not permitted. </w:t>
    </w:r>
  </w:p>
  <w:bookmarkEnd w:id="2"/>
  <w:p w14:paraId="45C54678" w14:textId="1FD32C43" w:rsidR="002F0246" w:rsidRDefault="002F0246" w:rsidP="003A192C">
    <w:pPr>
      <w:pStyle w:val="Footer"/>
      <w:jc w:val="both"/>
      <w:rPr>
        <w:sz w:val="10"/>
        <w:szCs w:val="10"/>
        <w:lang w:val="en-GB"/>
      </w:rPr>
    </w:pPr>
    <w:r w:rsidRPr="001A02FB">
      <w:rPr>
        <w:sz w:val="10"/>
        <w:szCs w:val="10"/>
        <w:lang w:val="en-GB"/>
      </w:rPr>
      <w:t xml:space="preserve">The relevant product documentation of the financial products can be obtained directly at Aspermont Capital AG, Loewenstrasse 66, CH-8001 Zurich, via telephone +41 43 888 66 44 or via email </w:t>
    </w:r>
    <w:hyperlink r:id="rId1" w:history="1">
      <w:r w:rsidRPr="001A02FB">
        <w:rPr>
          <w:rStyle w:val="Hyperlink"/>
          <w:sz w:val="10"/>
          <w:szCs w:val="10"/>
          <w:lang w:val="en-GB"/>
        </w:rPr>
        <w:t>info@ascap.ch</w:t>
      </w:r>
    </w:hyperlink>
    <w:r w:rsidRPr="001A02FB">
      <w:rPr>
        <w:sz w:val="10"/>
        <w:szCs w:val="10"/>
        <w:lang w:val="en-GB"/>
      </w:rPr>
      <w:t xml:space="preserve"> .  </w:t>
    </w:r>
  </w:p>
  <w:p w14:paraId="3C2D38CB" w14:textId="77777777" w:rsidR="002F0246" w:rsidRDefault="002F0246" w:rsidP="002F0246">
    <w:pPr>
      <w:pStyle w:val="Footer"/>
    </w:pPr>
    <w:r w:rsidRPr="001A02FB">
      <w:rPr>
        <w:sz w:val="10"/>
        <w:szCs w:val="10"/>
        <w:lang w:val="en-GB"/>
      </w:rPr>
      <w:t>© Aspermont Capital AG 202</w:t>
    </w:r>
    <w:r>
      <w:rPr>
        <w:sz w:val="10"/>
        <w:szCs w:val="10"/>
        <w:lang w:val="en-GB"/>
      </w:rPr>
      <w:t>5</w:t>
    </w:r>
    <w:r w:rsidRPr="001A02FB">
      <w:rPr>
        <w:sz w:val="10"/>
        <w:szCs w:val="10"/>
        <w:lang w:val="en-GB"/>
      </w:rPr>
      <w:t>. All rights reserved.</w:t>
    </w:r>
    <w:r w:rsidRPr="001A02FB">
      <w:rPr>
        <w:sz w:val="8"/>
        <w:szCs w:val="8"/>
        <w:lang w:val="en-GB"/>
      </w:rPr>
      <w:t> </w:t>
    </w:r>
    <w:bookmarkEnd w:id="3"/>
    <w:bookmarkEnd w:id="4"/>
    <w:bookmarkEnd w:id="5"/>
    <w:bookmarkEnd w:id="6"/>
  </w:p>
  <w:p w14:paraId="04BE1369" w14:textId="77777777" w:rsidR="00825411" w:rsidRPr="002F0246" w:rsidRDefault="00825411" w:rsidP="002F02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CAB6F" w14:textId="77777777" w:rsidR="00584A28" w:rsidRDefault="00584A28">
      <w:pPr>
        <w:spacing w:after="0" w:line="240" w:lineRule="auto"/>
      </w:pPr>
      <w:r>
        <w:separator/>
      </w:r>
    </w:p>
  </w:footnote>
  <w:footnote w:type="continuationSeparator" w:id="0">
    <w:p w14:paraId="69F08090" w14:textId="77777777" w:rsidR="00584A28" w:rsidRDefault="00584A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A7D9F" w14:textId="77777777" w:rsidR="00825411" w:rsidRDefault="00825411">
    <w:pPr>
      <w:pStyle w:val="Header"/>
      <w:jc w:val="right"/>
    </w:pPr>
    <w:r w:rsidRPr="00437B29">
      <w:rPr>
        <w:noProof/>
        <w:lang w:val="de-CH" w:eastAsia="de-CH"/>
      </w:rPr>
      <w:drawing>
        <wp:inline distT="0" distB="0" distL="0" distR="0" wp14:anchorId="686D5577" wp14:editId="45749EE8">
          <wp:extent cx="1314450" cy="209550"/>
          <wp:effectExtent l="19050" t="0" r="0" b="0"/>
          <wp:docPr id="1300811753" name="Picture 1" descr="Aspermont-FinServ_RGB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permont-FinServ_RGB_L"/>
                  <pic:cNvPicPr>
                    <a:picLocks noChangeAspect="1" noChangeArrowheads="1"/>
                  </pic:cNvPicPr>
                </pic:nvPicPr>
                <pic:blipFill>
                  <a:blip r:embed="rId1"/>
                  <a:srcRect/>
                  <a:stretch>
                    <a:fillRect/>
                  </a:stretch>
                </pic:blipFill>
                <pic:spPr bwMode="auto">
                  <a:xfrm>
                    <a:off x="0" y="0"/>
                    <a:ext cx="1314450" cy="209550"/>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411"/>
    <w:rsid w:val="0001235A"/>
    <w:rsid w:val="0001270F"/>
    <w:rsid w:val="00014017"/>
    <w:rsid w:val="000236D4"/>
    <w:rsid w:val="0003046D"/>
    <w:rsid w:val="00037037"/>
    <w:rsid w:val="000406D0"/>
    <w:rsid w:val="00056509"/>
    <w:rsid w:val="00063119"/>
    <w:rsid w:val="00064C2C"/>
    <w:rsid w:val="000651B4"/>
    <w:rsid w:val="00072C37"/>
    <w:rsid w:val="00073017"/>
    <w:rsid w:val="0007669A"/>
    <w:rsid w:val="000819CB"/>
    <w:rsid w:val="00082B48"/>
    <w:rsid w:val="000917C4"/>
    <w:rsid w:val="000A6B18"/>
    <w:rsid w:val="000B7B09"/>
    <w:rsid w:val="000E032B"/>
    <w:rsid w:val="000E0676"/>
    <w:rsid w:val="001026FF"/>
    <w:rsid w:val="001142C3"/>
    <w:rsid w:val="00117A9C"/>
    <w:rsid w:val="00135FAF"/>
    <w:rsid w:val="00143FC7"/>
    <w:rsid w:val="00145166"/>
    <w:rsid w:val="00151F42"/>
    <w:rsid w:val="001572CF"/>
    <w:rsid w:val="001606E1"/>
    <w:rsid w:val="001616E3"/>
    <w:rsid w:val="00161A5A"/>
    <w:rsid w:val="001777FA"/>
    <w:rsid w:val="00182A34"/>
    <w:rsid w:val="00192262"/>
    <w:rsid w:val="001B35C0"/>
    <w:rsid w:val="001C4752"/>
    <w:rsid w:val="001D5CC3"/>
    <w:rsid w:val="001D7939"/>
    <w:rsid w:val="001E1EC7"/>
    <w:rsid w:val="001E6222"/>
    <w:rsid w:val="001F5A0A"/>
    <w:rsid w:val="00201F19"/>
    <w:rsid w:val="00210B89"/>
    <w:rsid w:val="00210FA3"/>
    <w:rsid w:val="002151A2"/>
    <w:rsid w:val="00223AC0"/>
    <w:rsid w:val="0022613C"/>
    <w:rsid w:val="00226773"/>
    <w:rsid w:val="0023039A"/>
    <w:rsid w:val="002338C0"/>
    <w:rsid w:val="00237938"/>
    <w:rsid w:val="0025055B"/>
    <w:rsid w:val="002633E8"/>
    <w:rsid w:val="00265E7B"/>
    <w:rsid w:val="0026708B"/>
    <w:rsid w:val="0027471E"/>
    <w:rsid w:val="00277676"/>
    <w:rsid w:val="002826F3"/>
    <w:rsid w:val="00294E69"/>
    <w:rsid w:val="002957A4"/>
    <w:rsid w:val="00295B8A"/>
    <w:rsid w:val="002B21F4"/>
    <w:rsid w:val="002B6ECC"/>
    <w:rsid w:val="002C704C"/>
    <w:rsid w:val="002C7468"/>
    <w:rsid w:val="002D5ECE"/>
    <w:rsid w:val="002E787C"/>
    <w:rsid w:val="002F0246"/>
    <w:rsid w:val="002F035F"/>
    <w:rsid w:val="003001E1"/>
    <w:rsid w:val="00303CC4"/>
    <w:rsid w:val="00306F42"/>
    <w:rsid w:val="0031111E"/>
    <w:rsid w:val="00313C04"/>
    <w:rsid w:val="0032060D"/>
    <w:rsid w:val="00335E17"/>
    <w:rsid w:val="00341611"/>
    <w:rsid w:val="003507B4"/>
    <w:rsid w:val="00360D4B"/>
    <w:rsid w:val="00361A97"/>
    <w:rsid w:val="00364ECF"/>
    <w:rsid w:val="00365E7C"/>
    <w:rsid w:val="003806E2"/>
    <w:rsid w:val="00386536"/>
    <w:rsid w:val="003908E6"/>
    <w:rsid w:val="00390A40"/>
    <w:rsid w:val="00394C4C"/>
    <w:rsid w:val="00396E15"/>
    <w:rsid w:val="003A192C"/>
    <w:rsid w:val="003A3A5A"/>
    <w:rsid w:val="003A4BC5"/>
    <w:rsid w:val="003A7ED1"/>
    <w:rsid w:val="003B297B"/>
    <w:rsid w:val="003D16EC"/>
    <w:rsid w:val="003D1AF6"/>
    <w:rsid w:val="003D3B97"/>
    <w:rsid w:val="003D7DFE"/>
    <w:rsid w:val="003F042F"/>
    <w:rsid w:val="00400365"/>
    <w:rsid w:val="00401BD6"/>
    <w:rsid w:val="004126D7"/>
    <w:rsid w:val="004161E0"/>
    <w:rsid w:val="004254CF"/>
    <w:rsid w:val="00426309"/>
    <w:rsid w:val="004319FB"/>
    <w:rsid w:val="00440303"/>
    <w:rsid w:val="00441265"/>
    <w:rsid w:val="00445A3D"/>
    <w:rsid w:val="004567BB"/>
    <w:rsid w:val="00460739"/>
    <w:rsid w:val="00460E9C"/>
    <w:rsid w:val="00466330"/>
    <w:rsid w:val="0047296C"/>
    <w:rsid w:val="00476941"/>
    <w:rsid w:val="00480FA7"/>
    <w:rsid w:val="004921F6"/>
    <w:rsid w:val="004958F0"/>
    <w:rsid w:val="004A4816"/>
    <w:rsid w:val="004D2C5A"/>
    <w:rsid w:val="004D61A6"/>
    <w:rsid w:val="004D67E9"/>
    <w:rsid w:val="004E1943"/>
    <w:rsid w:val="00505BE4"/>
    <w:rsid w:val="00515C38"/>
    <w:rsid w:val="00522424"/>
    <w:rsid w:val="00523AE9"/>
    <w:rsid w:val="00524585"/>
    <w:rsid w:val="00524B9A"/>
    <w:rsid w:val="005323D7"/>
    <w:rsid w:val="00544C10"/>
    <w:rsid w:val="0056451E"/>
    <w:rsid w:val="005715AE"/>
    <w:rsid w:val="00571A0E"/>
    <w:rsid w:val="00575966"/>
    <w:rsid w:val="00584A28"/>
    <w:rsid w:val="005864AA"/>
    <w:rsid w:val="005905B4"/>
    <w:rsid w:val="005946D8"/>
    <w:rsid w:val="00597C9F"/>
    <w:rsid w:val="005A3D27"/>
    <w:rsid w:val="005B0F2F"/>
    <w:rsid w:val="005B1D68"/>
    <w:rsid w:val="005B5B1F"/>
    <w:rsid w:val="005C0B50"/>
    <w:rsid w:val="005C4160"/>
    <w:rsid w:val="005C4A26"/>
    <w:rsid w:val="005D6039"/>
    <w:rsid w:val="00601B20"/>
    <w:rsid w:val="00610C26"/>
    <w:rsid w:val="00612EED"/>
    <w:rsid w:val="00613B67"/>
    <w:rsid w:val="00615FB4"/>
    <w:rsid w:val="0063495D"/>
    <w:rsid w:val="00637297"/>
    <w:rsid w:val="006425AA"/>
    <w:rsid w:val="00643D07"/>
    <w:rsid w:val="00647E72"/>
    <w:rsid w:val="00674BEF"/>
    <w:rsid w:val="0068089E"/>
    <w:rsid w:val="006857CD"/>
    <w:rsid w:val="00685CAA"/>
    <w:rsid w:val="006936C3"/>
    <w:rsid w:val="00693B87"/>
    <w:rsid w:val="006A02BB"/>
    <w:rsid w:val="006A12AA"/>
    <w:rsid w:val="006A2D10"/>
    <w:rsid w:val="006A2FDA"/>
    <w:rsid w:val="006A3293"/>
    <w:rsid w:val="006A58AF"/>
    <w:rsid w:val="006A7B1D"/>
    <w:rsid w:val="006B0CDC"/>
    <w:rsid w:val="006B4BC4"/>
    <w:rsid w:val="006B7D2C"/>
    <w:rsid w:val="006B7F5C"/>
    <w:rsid w:val="006D13B5"/>
    <w:rsid w:val="006D3DFA"/>
    <w:rsid w:val="006E41DC"/>
    <w:rsid w:val="006E4E13"/>
    <w:rsid w:val="006E501C"/>
    <w:rsid w:val="006E7766"/>
    <w:rsid w:val="006F14EB"/>
    <w:rsid w:val="006F2FDD"/>
    <w:rsid w:val="00701829"/>
    <w:rsid w:val="00702F72"/>
    <w:rsid w:val="00704DBD"/>
    <w:rsid w:val="00711A58"/>
    <w:rsid w:val="007264CB"/>
    <w:rsid w:val="00726B3B"/>
    <w:rsid w:val="0073323C"/>
    <w:rsid w:val="00735F36"/>
    <w:rsid w:val="0074051C"/>
    <w:rsid w:val="00744B50"/>
    <w:rsid w:val="00744CFF"/>
    <w:rsid w:val="00745C42"/>
    <w:rsid w:val="00754404"/>
    <w:rsid w:val="0075469D"/>
    <w:rsid w:val="00762009"/>
    <w:rsid w:val="0076259D"/>
    <w:rsid w:val="007647CE"/>
    <w:rsid w:val="00781629"/>
    <w:rsid w:val="00784059"/>
    <w:rsid w:val="0078667B"/>
    <w:rsid w:val="00786EC3"/>
    <w:rsid w:val="00797C08"/>
    <w:rsid w:val="007A4634"/>
    <w:rsid w:val="007A7BC9"/>
    <w:rsid w:val="007B287B"/>
    <w:rsid w:val="007C44D7"/>
    <w:rsid w:val="007C7FA4"/>
    <w:rsid w:val="007D362F"/>
    <w:rsid w:val="007D5BE5"/>
    <w:rsid w:val="007D5DDA"/>
    <w:rsid w:val="007E6153"/>
    <w:rsid w:val="00814793"/>
    <w:rsid w:val="00821A7B"/>
    <w:rsid w:val="00822473"/>
    <w:rsid w:val="00825411"/>
    <w:rsid w:val="008267A9"/>
    <w:rsid w:val="00831189"/>
    <w:rsid w:val="00834283"/>
    <w:rsid w:val="008426BA"/>
    <w:rsid w:val="00847F17"/>
    <w:rsid w:val="008514A0"/>
    <w:rsid w:val="008520DA"/>
    <w:rsid w:val="008545F1"/>
    <w:rsid w:val="008556CB"/>
    <w:rsid w:val="00857DFD"/>
    <w:rsid w:val="00860B74"/>
    <w:rsid w:val="00880679"/>
    <w:rsid w:val="0088079B"/>
    <w:rsid w:val="00885948"/>
    <w:rsid w:val="008A11D9"/>
    <w:rsid w:val="008A5AFE"/>
    <w:rsid w:val="008A6D84"/>
    <w:rsid w:val="008B1DBC"/>
    <w:rsid w:val="008B5AF8"/>
    <w:rsid w:val="008B7F94"/>
    <w:rsid w:val="008C440A"/>
    <w:rsid w:val="008E102D"/>
    <w:rsid w:val="008E3A4B"/>
    <w:rsid w:val="008E5CB9"/>
    <w:rsid w:val="008E6AD0"/>
    <w:rsid w:val="00900534"/>
    <w:rsid w:val="0090389D"/>
    <w:rsid w:val="00905847"/>
    <w:rsid w:val="00915C8A"/>
    <w:rsid w:val="009174AB"/>
    <w:rsid w:val="009174F9"/>
    <w:rsid w:val="00924920"/>
    <w:rsid w:val="00925D5E"/>
    <w:rsid w:val="0092622C"/>
    <w:rsid w:val="00927A2F"/>
    <w:rsid w:val="009347F6"/>
    <w:rsid w:val="00934B67"/>
    <w:rsid w:val="009363EE"/>
    <w:rsid w:val="00936DB2"/>
    <w:rsid w:val="00940559"/>
    <w:rsid w:val="0094086E"/>
    <w:rsid w:val="0094228A"/>
    <w:rsid w:val="00944659"/>
    <w:rsid w:val="00944B4C"/>
    <w:rsid w:val="00945C84"/>
    <w:rsid w:val="0095277D"/>
    <w:rsid w:val="00960ECD"/>
    <w:rsid w:val="00963FC9"/>
    <w:rsid w:val="00981FE5"/>
    <w:rsid w:val="00982FBE"/>
    <w:rsid w:val="00983F56"/>
    <w:rsid w:val="00984E54"/>
    <w:rsid w:val="00990D06"/>
    <w:rsid w:val="009A0CDF"/>
    <w:rsid w:val="009B58C7"/>
    <w:rsid w:val="009B6F30"/>
    <w:rsid w:val="009C0431"/>
    <w:rsid w:val="009C389C"/>
    <w:rsid w:val="009C7578"/>
    <w:rsid w:val="009D2F79"/>
    <w:rsid w:val="009D6495"/>
    <w:rsid w:val="00A069DD"/>
    <w:rsid w:val="00A07C36"/>
    <w:rsid w:val="00A111AD"/>
    <w:rsid w:val="00A119DB"/>
    <w:rsid w:val="00A14D0B"/>
    <w:rsid w:val="00A1653A"/>
    <w:rsid w:val="00A178BE"/>
    <w:rsid w:val="00A2019A"/>
    <w:rsid w:val="00A223E3"/>
    <w:rsid w:val="00A2415B"/>
    <w:rsid w:val="00A251D2"/>
    <w:rsid w:val="00A51F25"/>
    <w:rsid w:val="00A61BDD"/>
    <w:rsid w:val="00A648C9"/>
    <w:rsid w:val="00A6577A"/>
    <w:rsid w:val="00A75B3E"/>
    <w:rsid w:val="00A87280"/>
    <w:rsid w:val="00A91ABD"/>
    <w:rsid w:val="00A933BE"/>
    <w:rsid w:val="00A96923"/>
    <w:rsid w:val="00AA2B1C"/>
    <w:rsid w:val="00AA474E"/>
    <w:rsid w:val="00AA6D36"/>
    <w:rsid w:val="00AB7BD7"/>
    <w:rsid w:val="00AD2C8D"/>
    <w:rsid w:val="00AD3D14"/>
    <w:rsid w:val="00AE6A3C"/>
    <w:rsid w:val="00B13B2A"/>
    <w:rsid w:val="00B231E7"/>
    <w:rsid w:val="00B23372"/>
    <w:rsid w:val="00B2588C"/>
    <w:rsid w:val="00B26D20"/>
    <w:rsid w:val="00B303EC"/>
    <w:rsid w:val="00B3116A"/>
    <w:rsid w:val="00B36145"/>
    <w:rsid w:val="00B3688C"/>
    <w:rsid w:val="00B41D61"/>
    <w:rsid w:val="00B531A5"/>
    <w:rsid w:val="00B57241"/>
    <w:rsid w:val="00B62C25"/>
    <w:rsid w:val="00B72E48"/>
    <w:rsid w:val="00B73183"/>
    <w:rsid w:val="00B7478F"/>
    <w:rsid w:val="00B748E7"/>
    <w:rsid w:val="00B765AB"/>
    <w:rsid w:val="00B82C55"/>
    <w:rsid w:val="00BA298E"/>
    <w:rsid w:val="00BA3728"/>
    <w:rsid w:val="00BA4EA1"/>
    <w:rsid w:val="00BB094A"/>
    <w:rsid w:val="00BD504E"/>
    <w:rsid w:val="00BE4445"/>
    <w:rsid w:val="00BF0D32"/>
    <w:rsid w:val="00BF1968"/>
    <w:rsid w:val="00BF25AA"/>
    <w:rsid w:val="00BF2FBD"/>
    <w:rsid w:val="00C005DE"/>
    <w:rsid w:val="00C02582"/>
    <w:rsid w:val="00C04C96"/>
    <w:rsid w:val="00C12270"/>
    <w:rsid w:val="00C23801"/>
    <w:rsid w:val="00C2775A"/>
    <w:rsid w:val="00C3341B"/>
    <w:rsid w:val="00C33AB8"/>
    <w:rsid w:val="00C3490B"/>
    <w:rsid w:val="00C36AE2"/>
    <w:rsid w:val="00C4239C"/>
    <w:rsid w:val="00C45C16"/>
    <w:rsid w:val="00C4745C"/>
    <w:rsid w:val="00C54D9D"/>
    <w:rsid w:val="00C573CE"/>
    <w:rsid w:val="00C60611"/>
    <w:rsid w:val="00C6465B"/>
    <w:rsid w:val="00C66394"/>
    <w:rsid w:val="00C730EB"/>
    <w:rsid w:val="00C851A1"/>
    <w:rsid w:val="00C86469"/>
    <w:rsid w:val="00C87C01"/>
    <w:rsid w:val="00C93970"/>
    <w:rsid w:val="00CA4B1C"/>
    <w:rsid w:val="00CA6841"/>
    <w:rsid w:val="00CA7CB0"/>
    <w:rsid w:val="00CB38E5"/>
    <w:rsid w:val="00CC15B0"/>
    <w:rsid w:val="00CC785F"/>
    <w:rsid w:val="00CF29BA"/>
    <w:rsid w:val="00CF315B"/>
    <w:rsid w:val="00CF3D80"/>
    <w:rsid w:val="00CF7605"/>
    <w:rsid w:val="00D00F59"/>
    <w:rsid w:val="00D10A98"/>
    <w:rsid w:val="00D17087"/>
    <w:rsid w:val="00D220A0"/>
    <w:rsid w:val="00D27F80"/>
    <w:rsid w:val="00D33630"/>
    <w:rsid w:val="00D37953"/>
    <w:rsid w:val="00D41963"/>
    <w:rsid w:val="00D47FBE"/>
    <w:rsid w:val="00D71BF5"/>
    <w:rsid w:val="00D75D6E"/>
    <w:rsid w:val="00D81135"/>
    <w:rsid w:val="00D95274"/>
    <w:rsid w:val="00DA11BB"/>
    <w:rsid w:val="00DA188E"/>
    <w:rsid w:val="00DA632B"/>
    <w:rsid w:val="00DB071D"/>
    <w:rsid w:val="00DC3B5C"/>
    <w:rsid w:val="00DC5CF9"/>
    <w:rsid w:val="00DD0B50"/>
    <w:rsid w:val="00DD1165"/>
    <w:rsid w:val="00DD1E81"/>
    <w:rsid w:val="00DE050B"/>
    <w:rsid w:val="00DE5211"/>
    <w:rsid w:val="00DF7DD7"/>
    <w:rsid w:val="00E047A5"/>
    <w:rsid w:val="00E06C99"/>
    <w:rsid w:val="00E12761"/>
    <w:rsid w:val="00E162C2"/>
    <w:rsid w:val="00E218BB"/>
    <w:rsid w:val="00E22C5B"/>
    <w:rsid w:val="00E2411D"/>
    <w:rsid w:val="00E3036B"/>
    <w:rsid w:val="00E319EC"/>
    <w:rsid w:val="00E337E2"/>
    <w:rsid w:val="00E354F2"/>
    <w:rsid w:val="00E359B4"/>
    <w:rsid w:val="00E36B3E"/>
    <w:rsid w:val="00E44CA8"/>
    <w:rsid w:val="00E511AB"/>
    <w:rsid w:val="00E574A1"/>
    <w:rsid w:val="00E71D50"/>
    <w:rsid w:val="00E769A2"/>
    <w:rsid w:val="00E85880"/>
    <w:rsid w:val="00E859DA"/>
    <w:rsid w:val="00E87B36"/>
    <w:rsid w:val="00E91F08"/>
    <w:rsid w:val="00E947F0"/>
    <w:rsid w:val="00E94D16"/>
    <w:rsid w:val="00E97D50"/>
    <w:rsid w:val="00EA47D3"/>
    <w:rsid w:val="00EA488F"/>
    <w:rsid w:val="00EA68D8"/>
    <w:rsid w:val="00EB2A04"/>
    <w:rsid w:val="00EC1F34"/>
    <w:rsid w:val="00ED0ACB"/>
    <w:rsid w:val="00ED6C2B"/>
    <w:rsid w:val="00EF027B"/>
    <w:rsid w:val="00EF7EB3"/>
    <w:rsid w:val="00F03760"/>
    <w:rsid w:val="00F064AC"/>
    <w:rsid w:val="00F1062A"/>
    <w:rsid w:val="00F10909"/>
    <w:rsid w:val="00F13114"/>
    <w:rsid w:val="00F13AC3"/>
    <w:rsid w:val="00F23460"/>
    <w:rsid w:val="00F3381C"/>
    <w:rsid w:val="00F372C7"/>
    <w:rsid w:val="00F37B55"/>
    <w:rsid w:val="00F413DD"/>
    <w:rsid w:val="00F45BB7"/>
    <w:rsid w:val="00F529EE"/>
    <w:rsid w:val="00F52BF2"/>
    <w:rsid w:val="00F5400B"/>
    <w:rsid w:val="00F55104"/>
    <w:rsid w:val="00F6013C"/>
    <w:rsid w:val="00F62652"/>
    <w:rsid w:val="00F645CB"/>
    <w:rsid w:val="00F84012"/>
    <w:rsid w:val="00F905AD"/>
    <w:rsid w:val="00F9063E"/>
    <w:rsid w:val="00FA12AA"/>
    <w:rsid w:val="00FA316A"/>
    <w:rsid w:val="00FA66F5"/>
    <w:rsid w:val="00FA75B1"/>
    <w:rsid w:val="00FC2E48"/>
    <w:rsid w:val="00FC6E0C"/>
    <w:rsid w:val="00FD4D7B"/>
    <w:rsid w:val="00FE374D"/>
    <w:rsid w:val="00FF0411"/>
    <w:rsid w:val="00FF1F4A"/>
    <w:rsid w:val="00FF2F3A"/>
    <w:rsid w:val="00FF4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CC5A31"/>
  <w15:chartTrackingRefBased/>
  <w15:docId w15:val="{B6C175F6-EEFC-4A68-B78A-F8C8C6FD8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411"/>
    <w:pPr>
      <w:spacing w:after="200" w:line="276" w:lineRule="auto"/>
    </w:pPr>
    <w:rPr>
      <w:rFonts w:eastAsiaTheme="minorEastAsia"/>
      <w:kern w:val="0"/>
      <w:lang w:val="en-CA" w:eastAsia="en-CA"/>
      <w14:ligatures w14:val="none"/>
    </w:rPr>
  </w:style>
  <w:style w:type="paragraph" w:styleId="Heading1">
    <w:name w:val="heading 1"/>
    <w:basedOn w:val="Normal"/>
    <w:next w:val="Normal"/>
    <w:link w:val="Heading1Char"/>
    <w:uiPriority w:val="9"/>
    <w:qFormat/>
    <w:rsid w:val="00825411"/>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5411"/>
    <w:rPr>
      <w:rFonts w:asciiTheme="majorHAnsi" w:eastAsiaTheme="majorEastAsia" w:hAnsiTheme="majorHAnsi" w:cstheme="majorBidi"/>
      <w:b/>
      <w:bCs/>
      <w:color w:val="2F5496" w:themeColor="accent1" w:themeShade="BF"/>
      <w:kern w:val="0"/>
      <w:sz w:val="28"/>
      <w:szCs w:val="28"/>
      <w:lang w:val="en-CA" w:eastAsia="en-CA"/>
      <w14:ligatures w14:val="none"/>
    </w:rPr>
  </w:style>
  <w:style w:type="table" w:styleId="TableGrid">
    <w:name w:val="Table Grid"/>
    <w:basedOn w:val="TableNormal"/>
    <w:uiPriority w:val="59"/>
    <w:rsid w:val="00825411"/>
    <w:pPr>
      <w:spacing w:after="0" w:line="240" w:lineRule="auto"/>
    </w:pPr>
    <w:rPr>
      <w:rFonts w:eastAsiaTheme="minorEastAsia"/>
      <w:kern w:val="0"/>
      <w:lang w:val="en-CA" w:eastAsia="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5411"/>
    <w:pPr>
      <w:tabs>
        <w:tab w:val="center" w:pos="4703"/>
        <w:tab w:val="right" w:pos="9406"/>
      </w:tabs>
      <w:spacing w:after="0" w:line="240" w:lineRule="auto"/>
    </w:pPr>
  </w:style>
  <w:style w:type="character" w:customStyle="1" w:styleId="HeaderChar">
    <w:name w:val="Header Char"/>
    <w:basedOn w:val="DefaultParagraphFont"/>
    <w:link w:val="Header"/>
    <w:uiPriority w:val="99"/>
    <w:rsid w:val="00825411"/>
    <w:rPr>
      <w:rFonts w:eastAsiaTheme="minorEastAsia"/>
      <w:kern w:val="0"/>
      <w:lang w:val="en-CA" w:eastAsia="en-CA"/>
      <w14:ligatures w14:val="none"/>
    </w:rPr>
  </w:style>
  <w:style w:type="paragraph" w:styleId="Footer">
    <w:name w:val="footer"/>
    <w:basedOn w:val="Normal"/>
    <w:link w:val="FooterChar"/>
    <w:uiPriority w:val="99"/>
    <w:unhideWhenUsed/>
    <w:rsid w:val="00825411"/>
    <w:pPr>
      <w:tabs>
        <w:tab w:val="center" w:pos="4703"/>
        <w:tab w:val="right" w:pos="9406"/>
      </w:tabs>
      <w:spacing w:after="0" w:line="240" w:lineRule="auto"/>
    </w:pPr>
  </w:style>
  <w:style w:type="character" w:customStyle="1" w:styleId="FooterChar">
    <w:name w:val="Footer Char"/>
    <w:basedOn w:val="DefaultParagraphFont"/>
    <w:link w:val="Footer"/>
    <w:uiPriority w:val="99"/>
    <w:rsid w:val="00825411"/>
    <w:rPr>
      <w:rFonts w:eastAsiaTheme="minorEastAsia"/>
      <w:kern w:val="0"/>
      <w:lang w:val="en-CA" w:eastAsia="en-CA"/>
      <w14:ligatures w14:val="none"/>
    </w:rPr>
  </w:style>
  <w:style w:type="character" w:styleId="Hyperlink">
    <w:name w:val="Hyperlink"/>
    <w:basedOn w:val="DefaultParagraphFont"/>
    <w:uiPriority w:val="99"/>
    <w:unhideWhenUsed/>
    <w:rsid w:val="0082541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info@ascap.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69E17-CE6D-4CE1-9858-B523EFC08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798</Words>
  <Characters>4555</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Financial analyst</dc:creator>
  <cp:keywords/>
  <dc:description/>
  <cp:lastModifiedBy>Financial analyst</cp:lastModifiedBy>
  <cp:revision>3</cp:revision>
  <cp:lastPrinted>2026-08-10T09:37:00Z</cp:lastPrinted>
  <dcterms:created xsi:type="dcterms:W3CDTF">2026-08-11T07:34:00Z</dcterms:created>
  <dcterms:modified xsi:type="dcterms:W3CDTF">2026-08-11T08:15:00Z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5b4b3770f2024bbc7f0032c7cec8a064529e3e17c05e680f8c734955d707d645</vt:lpwstr>
  </property>
</Properties>
</file>