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single" w:sz="4" w:space="0" w:color="C00000"/>
          <w:right w:val="none" w:sz="0" w:space="0" w:color="auto"/>
          <w:insideH w:val="none" w:sz="0" w:space="0" w:color="auto"/>
          <w:insideV w:val="none" w:sz="0" w:space="0" w:color="auto"/>
        </w:tblBorders>
        <w:tblLook w:val="04A0" w:firstRow="1" w:lastRow="0" w:firstColumn="1" w:lastColumn="0" w:noHBand="0" w:noVBand="1"/>
      </w:tblPr>
      <w:tblGrid>
        <w:gridCol w:w="9212"/>
      </w:tblGrid>
      <w:tr w:rsidR="00825411" w:rsidRPr="006047A5" w14:paraId="1E0E1822" w14:textId="77777777">
        <w:tc>
          <w:tcPr>
            <w:tcW w:w="9212" w:type="dxa"/>
          </w:tcPr>
          <w:p w14:paraId="7044E4E5" w14:textId="1C54E2B2" w:rsidR="00825411" w:rsidRPr="00835938" w:rsidRDefault="00825411" w:rsidP="003A7ED1">
            <w:pPr>
              <w:pStyle w:val="Heading1"/>
              <w:spacing w:before="0"/>
              <w:rPr>
                <w:rFonts w:asciiTheme="minorHAnsi" w:hAnsiTheme="minorHAnsi"/>
                <w:color w:val="C00000"/>
                <w:sz w:val="48"/>
                <w:lang w:val="en-US"/>
              </w:rPr>
            </w:pPr>
            <w:r w:rsidRPr="00132966">
              <w:rPr>
                <w:rFonts w:asciiTheme="minorHAnsi" w:hAnsiTheme="minorHAnsi"/>
                <w:color w:val="C00000"/>
                <w:sz w:val="48"/>
                <w:lang w:val="en-US"/>
              </w:rPr>
              <w:t>AMC Aspermont Dividend Stock Basket</w:t>
            </w:r>
          </w:p>
        </w:tc>
      </w:tr>
    </w:tbl>
    <w:p w14:paraId="1DC09C68" w14:textId="0237F460" w:rsidR="00825411" w:rsidRPr="00BE59E1" w:rsidRDefault="00825411" w:rsidP="00825411">
      <w:pPr>
        <w:spacing w:before="120" w:after="120"/>
        <w:jc w:val="center"/>
        <w:rPr>
          <w:rFonts w:ascii="Calibri" w:hAnsi="Calibri" w:cs="Calibri"/>
          <w:b/>
          <w:sz w:val="24"/>
          <w:lang w:val="en-US"/>
        </w:rPr>
      </w:pPr>
      <w:r w:rsidRPr="00BE59E1">
        <w:rPr>
          <w:rFonts w:ascii="Calibri" w:hAnsi="Calibri" w:cs="Calibri"/>
          <w:b/>
          <w:sz w:val="24"/>
          <w:lang w:val="en-US"/>
        </w:rPr>
        <w:t xml:space="preserve">Product update as of </w:t>
      </w:r>
      <w:r w:rsidR="006A2FDA">
        <w:rPr>
          <w:rFonts w:ascii="Calibri" w:hAnsi="Calibri" w:cs="Calibri"/>
          <w:b/>
          <w:sz w:val="24"/>
          <w:lang w:val="en-US"/>
        </w:rPr>
        <w:t>May 31</w:t>
      </w:r>
      <w:r w:rsidR="00E12761">
        <w:rPr>
          <w:rFonts w:ascii="Calibri" w:hAnsi="Calibri" w:cs="Calibri"/>
          <w:b/>
          <w:sz w:val="24"/>
          <w:lang w:val="en-US"/>
        </w:rPr>
        <w:t>,</w:t>
      </w:r>
      <w:r w:rsidRPr="00BE59E1">
        <w:rPr>
          <w:rFonts w:ascii="Calibri" w:hAnsi="Calibri" w:cs="Calibri"/>
          <w:b/>
          <w:sz w:val="24"/>
          <w:lang w:val="en-US"/>
        </w:rPr>
        <w:t xml:space="preserve"> 202</w:t>
      </w:r>
      <w:r w:rsidR="006D3DFA">
        <w:rPr>
          <w:rFonts w:ascii="Calibri" w:hAnsi="Calibri" w:cs="Calibri"/>
          <w:b/>
          <w:sz w:val="24"/>
          <w:lang w:val="en-US"/>
        </w:rPr>
        <w:t>6</w:t>
      </w:r>
      <w:r w:rsidRPr="00BE59E1">
        <w:rPr>
          <w:rFonts w:ascii="Calibri" w:hAnsi="Calibri" w:cs="Calibri"/>
          <w:b/>
          <w:sz w:val="24"/>
          <w:lang w:val="en-US"/>
        </w:rPr>
        <w:tab/>
      </w:r>
    </w:p>
    <w:p w14:paraId="013D0346" w14:textId="534913FF" w:rsidR="00825411" w:rsidRPr="003D1AF6" w:rsidRDefault="00825411" w:rsidP="00825411">
      <w:pPr>
        <w:spacing w:after="0"/>
        <w:rPr>
          <w:rFonts w:ascii="Calibri" w:hAnsi="Calibri" w:cs="Calibri"/>
          <w:b/>
          <w:sz w:val="18"/>
          <w:lang w:val="en-US"/>
        </w:rPr>
      </w:pPr>
      <w:r w:rsidRPr="00BE59E1">
        <w:rPr>
          <w:rFonts w:ascii="Calibri" w:hAnsi="Calibri" w:cs="Calibri"/>
          <w:b/>
          <w:sz w:val="18"/>
          <w:lang w:val="en-US"/>
        </w:rPr>
        <w:t xml:space="preserve">NAV per </w:t>
      </w:r>
      <w:r w:rsidRPr="00182A34">
        <w:rPr>
          <w:rFonts w:ascii="Calibri" w:hAnsi="Calibri" w:cs="Calibri"/>
          <w:b/>
          <w:sz w:val="18"/>
          <w:lang w:val="en-US"/>
        </w:rPr>
        <w:t>share (</w:t>
      </w:r>
      <w:r w:rsidR="006A2FDA">
        <w:rPr>
          <w:rFonts w:ascii="Calibri" w:hAnsi="Calibri" w:cs="Calibri"/>
          <w:b/>
          <w:sz w:val="18"/>
          <w:lang w:val="en-US"/>
        </w:rPr>
        <w:t>May 31</w:t>
      </w:r>
      <w:r w:rsidRPr="00182A34">
        <w:rPr>
          <w:rFonts w:ascii="Calibri" w:hAnsi="Calibri" w:cs="Calibri"/>
          <w:b/>
          <w:sz w:val="18"/>
          <w:lang w:val="en-US"/>
        </w:rPr>
        <w:t>, 202</w:t>
      </w:r>
      <w:r w:rsidR="006D3DFA">
        <w:rPr>
          <w:rFonts w:ascii="Calibri" w:hAnsi="Calibri" w:cs="Calibri"/>
          <w:b/>
          <w:sz w:val="18"/>
          <w:lang w:val="en-US"/>
        </w:rPr>
        <w:t>6</w:t>
      </w:r>
      <w:r w:rsidRPr="00182A34">
        <w:rPr>
          <w:rFonts w:ascii="Calibri" w:hAnsi="Calibri" w:cs="Calibri"/>
          <w:b/>
          <w:sz w:val="18"/>
          <w:lang w:val="en-US"/>
        </w:rPr>
        <w:t xml:space="preserve">): </w:t>
      </w:r>
      <w:bookmarkStart w:id="0" w:name="_Hlk155621766"/>
      <w:r w:rsidR="007264CB" w:rsidRPr="00182A34">
        <w:rPr>
          <w:b/>
          <w:sz w:val="18"/>
          <w:lang w:val="en-US"/>
        </w:rPr>
        <w:t xml:space="preserve">EUR </w:t>
      </w:r>
      <w:r w:rsidR="006A2FDA">
        <w:rPr>
          <w:b/>
          <w:sz w:val="18"/>
          <w:lang w:val="en-US"/>
        </w:rPr>
        <w:t>220.1</w:t>
      </w:r>
      <w:r w:rsidR="007264CB" w:rsidRPr="00182A34">
        <w:rPr>
          <w:b/>
          <w:sz w:val="18"/>
          <w:lang w:val="en-US"/>
        </w:rPr>
        <w:t xml:space="preserve">, monthly </w:t>
      </w:r>
      <w:r w:rsidR="007264CB" w:rsidRPr="003D1AF6">
        <w:rPr>
          <w:b/>
          <w:sz w:val="18"/>
          <w:lang w:val="en-US"/>
        </w:rPr>
        <w:t>performance</w:t>
      </w:r>
      <w:bookmarkEnd w:id="0"/>
      <w:r w:rsidRPr="003D1AF6">
        <w:rPr>
          <w:rFonts w:ascii="Calibri" w:hAnsi="Calibri" w:cs="Calibri"/>
          <w:b/>
          <w:sz w:val="18"/>
          <w:lang w:val="en-US"/>
        </w:rPr>
        <w:t xml:space="preserve">: </w:t>
      </w:r>
      <w:r w:rsidR="00D27F80">
        <w:rPr>
          <w:rFonts w:ascii="Calibri" w:hAnsi="Calibri" w:cs="Calibri"/>
          <w:b/>
          <w:sz w:val="18"/>
          <w:lang w:val="en-US"/>
        </w:rPr>
        <w:t>+</w:t>
      </w:r>
      <w:r w:rsidR="006A2FDA">
        <w:rPr>
          <w:rFonts w:ascii="Calibri" w:hAnsi="Calibri" w:cs="Calibri"/>
          <w:b/>
          <w:sz w:val="18"/>
          <w:lang w:val="en-US"/>
        </w:rPr>
        <w:t>5.20</w:t>
      </w:r>
      <w:r w:rsidRPr="003D1AF6">
        <w:rPr>
          <w:rFonts w:ascii="Calibri" w:hAnsi="Calibri" w:cs="Calibri"/>
          <w:b/>
          <w:sz w:val="18"/>
          <w:lang w:val="en-US"/>
        </w:rPr>
        <w:t>%, YTD:</w:t>
      </w:r>
      <w:r w:rsidR="006A2FDA">
        <w:rPr>
          <w:rFonts w:ascii="Calibri" w:hAnsi="Calibri" w:cs="Calibri"/>
          <w:b/>
          <w:sz w:val="18"/>
          <w:lang w:val="en-US"/>
        </w:rPr>
        <w:t>11.70</w:t>
      </w:r>
      <w:r w:rsidRPr="003D1AF6">
        <w:rPr>
          <w:rFonts w:ascii="Calibri" w:hAnsi="Calibri" w:cs="Calibri"/>
          <w:b/>
          <w:sz w:val="18"/>
          <w:lang w:val="en-US"/>
        </w:rPr>
        <w:t>%,</w:t>
      </w:r>
      <w:r w:rsidR="009174AB" w:rsidRPr="003D1AF6">
        <w:rPr>
          <w:rFonts w:ascii="Calibri" w:hAnsi="Calibri" w:cs="Calibri"/>
          <w:b/>
          <w:sz w:val="18"/>
          <w:lang w:val="en-US"/>
        </w:rPr>
        <w:t xml:space="preserve"> </w:t>
      </w:r>
      <w:r w:rsidRPr="003D1AF6">
        <w:rPr>
          <w:rFonts w:ascii="Calibri" w:hAnsi="Calibri" w:cs="Calibri"/>
          <w:b/>
          <w:sz w:val="18"/>
          <w:lang w:val="en-US"/>
        </w:rPr>
        <w:t>since inception: +</w:t>
      </w:r>
      <w:r w:rsidR="006A2FDA">
        <w:rPr>
          <w:rFonts w:ascii="Calibri" w:hAnsi="Calibri" w:cs="Calibri"/>
          <w:b/>
          <w:sz w:val="18"/>
          <w:lang w:val="en-US"/>
        </w:rPr>
        <w:t>119.66</w:t>
      </w:r>
      <w:r w:rsidR="00DA188E" w:rsidRPr="003D1AF6">
        <w:rPr>
          <w:rFonts w:ascii="Calibri" w:hAnsi="Calibri" w:cs="Calibri"/>
          <w:b/>
          <w:sz w:val="18"/>
          <w:lang w:val="en-US"/>
        </w:rPr>
        <w:t>%</w:t>
      </w:r>
    </w:p>
    <w:p w14:paraId="1CB33E78" w14:textId="77777777" w:rsidR="00825411" w:rsidRPr="00BE59E1" w:rsidRDefault="00825411" w:rsidP="00825411">
      <w:pPr>
        <w:pStyle w:val="Heading1"/>
        <w:spacing w:before="240" w:after="120" w:line="240" w:lineRule="auto"/>
        <w:rPr>
          <w:rFonts w:ascii="Calibri" w:hAnsi="Calibri" w:cs="Calibri"/>
          <w:color w:val="C00000"/>
          <w:sz w:val="24"/>
          <w:lang w:val="en-US"/>
        </w:rPr>
      </w:pPr>
      <w:r w:rsidRPr="00BE59E1">
        <w:rPr>
          <w:rFonts w:ascii="Calibri" w:hAnsi="Calibri" w:cs="Calibri"/>
          <w:color w:val="C00000"/>
          <w:sz w:val="24"/>
          <w:lang w:val="en-US"/>
        </w:rPr>
        <w:t>The Aspermont Dividend Stock Basket</w:t>
      </w:r>
    </w:p>
    <w:p w14:paraId="221E374F" w14:textId="1B25E1B0" w:rsidR="00825411" w:rsidRPr="003A7ED1" w:rsidRDefault="00825411" w:rsidP="003A7ED1">
      <w:pPr>
        <w:spacing w:line="240" w:lineRule="auto"/>
        <w:jc w:val="both"/>
        <w:rPr>
          <w:rFonts w:ascii="Calibri" w:hAnsi="Calibri" w:cs="Calibri"/>
          <w:sz w:val="16"/>
          <w:szCs w:val="16"/>
          <w:lang w:val="en-US"/>
        </w:rPr>
      </w:pPr>
      <w:r w:rsidRPr="00A1740E">
        <w:rPr>
          <w:rFonts w:ascii="Calibri" w:hAnsi="Calibri" w:cs="Calibri"/>
          <w:sz w:val="16"/>
          <w:szCs w:val="16"/>
          <w:lang w:val="en-US"/>
        </w:rPr>
        <w:t xml:space="preserve">The Actively Managed (Strategy) Certificate (AMC) linked to the Aspermont Capital Dividend Stock Basket provides </w:t>
      </w:r>
      <w:proofErr w:type="gramStart"/>
      <w:r w:rsidRPr="00A1740E">
        <w:rPr>
          <w:rFonts w:ascii="Calibri" w:hAnsi="Calibri" w:cs="Calibri"/>
          <w:sz w:val="16"/>
          <w:szCs w:val="16"/>
          <w:lang w:val="en-US"/>
        </w:rPr>
        <w:t>investors</w:t>
      </w:r>
      <w:proofErr w:type="gramEnd"/>
      <w:r w:rsidRPr="00A1740E">
        <w:rPr>
          <w:rFonts w:ascii="Calibri" w:hAnsi="Calibri" w:cs="Calibri"/>
          <w:sz w:val="16"/>
          <w:szCs w:val="16"/>
          <w:lang w:val="en-US"/>
        </w:rPr>
        <w:t xml:space="preserve"> access to a broadly diversified portfolio of around 30 attractive value stocks. We particularly seek out companies with stable or growing dividends and payout ratios, driven by healthy balance sheet structures and sustainable revenue and earnings growth. While screening for such quantitative elements as margin growth, free cash flow and debt-to-equity ratios, qualitative aspects like management performance and corporate strategy are also included in our selection process. A minimum of 80% of the portfolio will be invested in large cap names with market capitalizations of over EUR 10 billion.</w:t>
      </w:r>
      <w:r w:rsidR="00693B87">
        <w:rPr>
          <w:rFonts w:ascii="Calibri" w:hAnsi="Calibri" w:cs="Calibri"/>
          <w:sz w:val="16"/>
          <w:szCs w:val="16"/>
          <w:lang w:val="en-US"/>
        </w:rPr>
        <w:t xml:space="preserve">  </w:t>
      </w:r>
    </w:p>
    <w:p w14:paraId="3DAED8D4" w14:textId="03B9B905" w:rsidR="00825411" w:rsidRPr="00A1740E" w:rsidRDefault="00825411" w:rsidP="00825411">
      <w:pPr>
        <w:spacing w:after="0" w:line="240" w:lineRule="auto"/>
        <w:jc w:val="both"/>
        <w:rPr>
          <w:b/>
          <w:bCs/>
          <w:color w:val="C00000"/>
          <w:sz w:val="24"/>
          <w:lang w:val="en-US"/>
        </w:rPr>
      </w:pPr>
      <w:r w:rsidRPr="00227BD9">
        <w:rPr>
          <w:b/>
          <w:bCs/>
          <w:color w:val="C00000"/>
          <w:sz w:val="24"/>
          <w:lang w:val="en-US"/>
        </w:rPr>
        <w:t>Manager’s Comment</w:t>
      </w:r>
    </w:p>
    <w:tbl>
      <w:tblPr>
        <w:tblStyle w:val="TableGrid"/>
        <w:tblW w:w="92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4563"/>
        <w:gridCol w:w="160"/>
        <w:gridCol w:w="4516"/>
      </w:tblGrid>
      <w:tr w:rsidR="00825411" w:rsidRPr="002F035F" w14:paraId="0ED9987F" w14:textId="77777777">
        <w:trPr>
          <w:trHeight w:val="892"/>
        </w:trPr>
        <w:tc>
          <w:tcPr>
            <w:tcW w:w="4570" w:type="dxa"/>
          </w:tcPr>
          <w:p w14:paraId="4403B2F3" w14:textId="0179B904" w:rsidR="00523AE9" w:rsidRPr="001777FA" w:rsidRDefault="007E6153" w:rsidP="00D27F80">
            <w:pPr>
              <w:tabs>
                <w:tab w:val="left" w:pos="6073"/>
              </w:tabs>
              <w:suppressAutoHyphens/>
              <w:spacing w:after="120" w:line="240" w:lineRule="auto"/>
              <w:ind w:left="-74"/>
              <w:jc w:val="both"/>
              <w:rPr>
                <w:rFonts w:ascii="Calibri" w:hAnsi="Calibri" w:cs="Calibri"/>
                <w:sz w:val="17"/>
                <w:szCs w:val="17"/>
                <w:lang w:val="en-US"/>
              </w:rPr>
            </w:pPr>
            <w:r w:rsidRPr="001777FA">
              <w:rPr>
                <w:rFonts w:ascii="Calibri" w:hAnsi="Calibri" w:cs="Calibri"/>
                <w:sz w:val="17"/>
                <w:szCs w:val="17"/>
                <w:lang w:val="en-US"/>
              </w:rPr>
              <w:t xml:space="preserve">In </w:t>
            </w:r>
            <w:r w:rsidR="006A2FDA" w:rsidRPr="001777FA">
              <w:rPr>
                <w:rFonts w:ascii="Calibri" w:hAnsi="Calibri" w:cs="Calibri"/>
                <w:sz w:val="17"/>
                <w:szCs w:val="17"/>
                <w:lang w:val="en-US"/>
              </w:rPr>
              <w:t>May</w:t>
            </w:r>
            <w:r w:rsidR="00523AE9" w:rsidRPr="001777FA">
              <w:rPr>
                <w:rFonts w:ascii="Calibri" w:hAnsi="Calibri" w:cs="Calibri"/>
                <w:sz w:val="17"/>
                <w:szCs w:val="17"/>
                <w:lang w:val="en-US"/>
              </w:rPr>
              <w:t xml:space="preserve">, the Dividend Basket delivered a performance of </w:t>
            </w:r>
            <w:r w:rsidR="00D27F80" w:rsidRPr="001777FA">
              <w:rPr>
                <w:rFonts w:ascii="Calibri" w:hAnsi="Calibri" w:cs="Calibri"/>
                <w:sz w:val="17"/>
                <w:szCs w:val="17"/>
                <w:lang w:val="en-US"/>
              </w:rPr>
              <w:t>+</w:t>
            </w:r>
            <w:r w:rsidR="006A2FDA" w:rsidRPr="001777FA">
              <w:rPr>
                <w:rFonts w:ascii="Calibri" w:hAnsi="Calibri" w:cs="Calibri"/>
                <w:sz w:val="17"/>
                <w:szCs w:val="17"/>
                <w:lang w:val="en-US"/>
              </w:rPr>
              <w:t>5.20</w:t>
            </w:r>
            <w:r w:rsidR="00523AE9" w:rsidRPr="001777FA">
              <w:rPr>
                <w:rFonts w:ascii="Calibri" w:hAnsi="Calibri" w:cs="Calibri"/>
                <w:sz w:val="17"/>
                <w:szCs w:val="17"/>
                <w:lang w:val="en-US"/>
              </w:rPr>
              <w:t>%</w:t>
            </w:r>
            <w:r w:rsidR="00E12761" w:rsidRPr="001777FA">
              <w:rPr>
                <w:rFonts w:ascii="Calibri" w:hAnsi="Calibri" w:cs="Calibri"/>
                <w:sz w:val="17"/>
                <w:szCs w:val="17"/>
                <w:lang w:val="en-US"/>
              </w:rPr>
              <w:t>. W</w:t>
            </w:r>
            <w:r w:rsidR="006A2FDA" w:rsidRPr="001777FA">
              <w:rPr>
                <w:rFonts w:ascii="Calibri" w:hAnsi="Calibri" w:cs="Calibri"/>
                <w:sz w:val="17"/>
                <w:szCs w:val="17"/>
                <w:lang w:val="en-US"/>
              </w:rPr>
              <w:t xml:space="preserve">hile there is hope </w:t>
            </w:r>
            <w:proofErr w:type="gramStart"/>
            <w:r w:rsidR="006A2FDA" w:rsidRPr="001777FA">
              <w:rPr>
                <w:rFonts w:ascii="Calibri" w:hAnsi="Calibri" w:cs="Calibri"/>
                <w:sz w:val="17"/>
                <w:szCs w:val="17"/>
                <w:lang w:val="en-US"/>
              </w:rPr>
              <w:t>about</w:t>
            </w:r>
            <w:proofErr w:type="gramEnd"/>
            <w:r w:rsidR="006A2FDA" w:rsidRPr="001777FA">
              <w:rPr>
                <w:rFonts w:ascii="Calibri" w:hAnsi="Calibri" w:cs="Calibri"/>
                <w:sz w:val="17"/>
                <w:szCs w:val="17"/>
                <w:lang w:val="en-US"/>
              </w:rPr>
              <w:t xml:space="preserve"> a possible end to the conflict, the major driver this month was the tech industry. The major markets also recorded positive months: </w:t>
            </w:r>
            <w:r w:rsidR="00E12761" w:rsidRPr="001777FA">
              <w:rPr>
                <w:rFonts w:ascii="Calibri" w:hAnsi="Calibri" w:cs="Calibri"/>
                <w:sz w:val="17"/>
                <w:szCs w:val="17"/>
                <w:lang w:val="en-US"/>
              </w:rPr>
              <w:t xml:space="preserve">DAX </w:t>
            </w:r>
            <w:r w:rsidR="001777FA" w:rsidRPr="001777FA">
              <w:rPr>
                <w:rFonts w:ascii="Calibri" w:hAnsi="Calibri" w:cs="Calibri"/>
                <w:sz w:val="17"/>
                <w:szCs w:val="17"/>
                <w:lang w:val="en-US"/>
              </w:rPr>
              <w:t>+3.34</w:t>
            </w:r>
            <w:r w:rsidR="00E12761" w:rsidRPr="001777FA">
              <w:rPr>
                <w:rFonts w:ascii="Calibri" w:hAnsi="Calibri" w:cs="Calibri"/>
                <w:sz w:val="17"/>
                <w:szCs w:val="17"/>
                <w:lang w:val="en-US"/>
              </w:rPr>
              <w:t xml:space="preserve">%, </w:t>
            </w:r>
            <w:proofErr w:type="spellStart"/>
            <w:r w:rsidR="00E12761" w:rsidRPr="001777FA">
              <w:rPr>
                <w:rFonts w:ascii="Calibri" w:hAnsi="Calibri" w:cs="Calibri"/>
                <w:sz w:val="17"/>
                <w:szCs w:val="17"/>
                <w:lang w:val="en-US"/>
              </w:rPr>
              <w:t>Eurostoxx</w:t>
            </w:r>
            <w:proofErr w:type="spellEnd"/>
            <w:r w:rsidR="00E12761" w:rsidRPr="001777FA">
              <w:rPr>
                <w:rFonts w:ascii="Calibri" w:hAnsi="Calibri" w:cs="Calibri"/>
                <w:sz w:val="17"/>
                <w:szCs w:val="17"/>
                <w:lang w:val="en-US"/>
              </w:rPr>
              <w:t xml:space="preserve"> 50</w:t>
            </w:r>
            <w:r w:rsidR="00D27F80" w:rsidRPr="001777FA">
              <w:rPr>
                <w:rFonts w:ascii="Calibri" w:hAnsi="Calibri" w:cs="Calibri"/>
                <w:sz w:val="17"/>
                <w:szCs w:val="17"/>
                <w:lang w:val="en-US"/>
              </w:rPr>
              <w:t xml:space="preserve"> </w:t>
            </w:r>
            <w:r w:rsidR="001777FA" w:rsidRPr="001777FA">
              <w:rPr>
                <w:rFonts w:ascii="Calibri" w:hAnsi="Calibri" w:cs="Calibri"/>
                <w:sz w:val="17"/>
                <w:szCs w:val="17"/>
                <w:lang w:val="en-US"/>
              </w:rPr>
              <w:t>+2.87</w:t>
            </w:r>
            <w:r w:rsidR="00E12761" w:rsidRPr="001777FA">
              <w:rPr>
                <w:rFonts w:ascii="Calibri" w:hAnsi="Calibri" w:cs="Calibri"/>
                <w:sz w:val="17"/>
                <w:szCs w:val="17"/>
                <w:lang w:val="en-US"/>
              </w:rPr>
              <w:t>%, SMI</w:t>
            </w:r>
            <w:r w:rsidR="001777FA" w:rsidRPr="001777FA">
              <w:rPr>
                <w:rFonts w:ascii="Calibri" w:hAnsi="Calibri" w:cs="Calibri"/>
                <w:sz w:val="17"/>
                <w:szCs w:val="17"/>
                <w:lang w:val="en-US"/>
              </w:rPr>
              <w:t xml:space="preserve"> +3.09</w:t>
            </w:r>
            <w:r w:rsidR="00E12761" w:rsidRPr="001777FA">
              <w:rPr>
                <w:rFonts w:ascii="Calibri" w:hAnsi="Calibri" w:cs="Calibri"/>
                <w:sz w:val="17"/>
                <w:szCs w:val="17"/>
                <w:lang w:val="en-US"/>
              </w:rPr>
              <w:t>%, S&amp;P500</w:t>
            </w:r>
            <w:r w:rsidR="001777FA" w:rsidRPr="001777FA">
              <w:rPr>
                <w:rFonts w:ascii="Calibri" w:hAnsi="Calibri" w:cs="Calibri"/>
                <w:sz w:val="17"/>
                <w:szCs w:val="17"/>
                <w:lang w:val="en-US"/>
              </w:rPr>
              <w:t xml:space="preserve"> +5.15</w:t>
            </w:r>
            <w:r w:rsidR="00E12761" w:rsidRPr="001777FA">
              <w:rPr>
                <w:rFonts w:ascii="Calibri" w:hAnsi="Calibri" w:cs="Calibri"/>
                <w:sz w:val="17"/>
                <w:szCs w:val="17"/>
                <w:lang w:val="en-US"/>
              </w:rPr>
              <w:t>%</w:t>
            </w:r>
          </w:p>
          <w:p w14:paraId="6A90520D" w14:textId="6BFA04E5" w:rsidR="00744CFF" w:rsidRPr="001777FA" w:rsidRDefault="00C6465B" w:rsidP="00523AE9">
            <w:pPr>
              <w:tabs>
                <w:tab w:val="left" w:pos="6073"/>
              </w:tabs>
              <w:suppressAutoHyphens/>
              <w:spacing w:after="120" w:line="240" w:lineRule="auto"/>
              <w:ind w:left="-74"/>
              <w:jc w:val="both"/>
              <w:rPr>
                <w:rFonts w:ascii="Calibri" w:hAnsi="Calibri" w:cs="Calibri"/>
                <w:sz w:val="17"/>
                <w:szCs w:val="17"/>
                <w:lang w:val="en-US"/>
              </w:rPr>
            </w:pPr>
            <w:r w:rsidRPr="001777FA">
              <w:rPr>
                <w:rFonts w:ascii="Calibri" w:hAnsi="Calibri" w:cs="Calibri"/>
                <w:sz w:val="17"/>
                <w:szCs w:val="17"/>
                <w:lang w:val="en-US"/>
              </w:rPr>
              <w:t>In general</w:t>
            </w:r>
            <w:r w:rsidR="00E85880" w:rsidRPr="001777FA">
              <w:rPr>
                <w:rFonts w:ascii="Calibri" w:hAnsi="Calibri" w:cs="Calibri"/>
                <w:sz w:val="17"/>
                <w:szCs w:val="17"/>
                <w:lang w:val="en-US"/>
              </w:rPr>
              <w:t>,</w:t>
            </w:r>
            <w:r w:rsidRPr="001777FA">
              <w:rPr>
                <w:rFonts w:ascii="Calibri" w:hAnsi="Calibri" w:cs="Calibri"/>
                <w:sz w:val="17"/>
                <w:szCs w:val="17"/>
                <w:lang w:val="en-US"/>
              </w:rPr>
              <w:t xml:space="preserve"> we </w:t>
            </w:r>
            <w:r w:rsidR="00D27F80" w:rsidRPr="001777FA">
              <w:rPr>
                <w:rFonts w:ascii="Calibri" w:hAnsi="Calibri" w:cs="Calibri"/>
                <w:sz w:val="17"/>
                <w:szCs w:val="17"/>
                <w:lang w:val="en-US"/>
              </w:rPr>
              <w:t xml:space="preserve">continued with the </w:t>
            </w:r>
            <w:r w:rsidR="00744CFF" w:rsidRPr="001777FA">
              <w:rPr>
                <w:rFonts w:ascii="Calibri" w:hAnsi="Calibri" w:cs="Calibri"/>
                <w:sz w:val="17"/>
                <w:szCs w:val="17"/>
                <w:lang w:val="en-US"/>
              </w:rPr>
              <w:t xml:space="preserve">lower overall </w:t>
            </w:r>
            <w:r w:rsidRPr="001777FA">
              <w:rPr>
                <w:rFonts w:ascii="Calibri" w:hAnsi="Calibri" w:cs="Calibri"/>
                <w:sz w:val="17"/>
                <w:szCs w:val="17"/>
                <w:lang w:val="en-US"/>
              </w:rPr>
              <w:t xml:space="preserve">USD </w:t>
            </w:r>
            <w:r w:rsidR="00E769A2" w:rsidRPr="001777FA">
              <w:rPr>
                <w:rFonts w:ascii="Calibri" w:hAnsi="Calibri" w:cs="Calibri"/>
                <w:sz w:val="17"/>
                <w:szCs w:val="17"/>
                <w:lang w:val="en-US"/>
              </w:rPr>
              <w:t>exposure of</w:t>
            </w:r>
            <w:r w:rsidRPr="001777FA">
              <w:rPr>
                <w:rFonts w:ascii="Calibri" w:hAnsi="Calibri" w:cs="Calibri"/>
                <w:sz w:val="17"/>
                <w:szCs w:val="17"/>
                <w:lang w:val="en-US"/>
              </w:rPr>
              <w:t xml:space="preserve"> </w:t>
            </w:r>
            <w:r w:rsidR="00FA316A" w:rsidRPr="001777FA">
              <w:rPr>
                <w:rFonts w:ascii="Calibri" w:hAnsi="Calibri" w:cs="Calibri"/>
                <w:sz w:val="17"/>
                <w:szCs w:val="17"/>
                <w:lang w:val="en-US"/>
              </w:rPr>
              <w:t>around 2</w:t>
            </w:r>
            <w:r w:rsidR="000B7B09" w:rsidRPr="001777FA">
              <w:rPr>
                <w:rFonts w:ascii="Calibri" w:hAnsi="Calibri" w:cs="Calibri"/>
                <w:sz w:val="17"/>
                <w:szCs w:val="17"/>
                <w:lang w:val="en-US"/>
              </w:rPr>
              <w:t>0</w:t>
            </w:r>
            <w:r w:rsidR="00744CFF" w:rsidRPr="001777FA">
              <w:rPr>
                <w:rFonts w:ascii="Calibri" w:hAnsi="Calibri" w:cs="Calibri"/>
                <w:sz w:val="17"/>
                <w:szCs w:val="17"/>
                <w:lang w:val="en-US"/>
              </w:rPr>
              <w:t xml:space="preserve">%. The USD has been weak in </w:t>
            </w:r>
            <w:r w:rsidR="00693B87" w:rsidRPr="001777FA">
              <w:rPr>
                <w:rFonts w:ascii="Calibri" w:hAnsi="Calibri" w:cs="Calibri"/>
                <w:sz w:val="17"/>
                <w:szCs w:val="17"/>
                <w:lang w:val="en-US"/>
              </w:rPr>
              <w:t xml:space="preserve">the past months </w:t>
            </w:r>
            <w:r w:rsidR="00E769A2" w:rsidRPr="001777FA">
              <w:rPr>
                <w:rFonts w:ascii="Calibri" w:hAnsi="Calibri" w:cs="Calibri"/>
                <w:sz w:val="17"/>
                <w:szCs w:val="17"/>
                <w:lang w:val="en-US"/>
              </w:rPr>
              <w:t>and in</w:t>
            </w:r>
            <w:r w:rsidR="00693B87" w:rsidRPr="001777FA">
              <w:rPr>
                <w:rFonts w:ascii="Calibri" w:hAnsi="Calibri" w:cs="Calibri"/>
                <w:sz w:val="17"/>
                <w:szCs w:val="17"/>
                <w:lang w:val="en-US"/>
              </w:rPr>
              <w:t xml:space="preserve"> </w:t>
            </w:r>
            <w:r w:rsidR="001777FA" w:rsidRPr="001777FA">
              <w:rPr>
                <w:rFonts w:ascii="Calibri" w:hAnsi="Calibri" w:cs="Calibri"/>
                <w:sz w:val="17"/>
                <w:szCs w:val="17"/>
                <w:lang w:val="en-US"/>
              </w:rPr>
              <w:t xml:space="preserve">May it strengthened slightly </w:t>
            </w:r>
            <w:r w:rsidR="006B4BC4" w:rsidRPr="001777FA">
              <w:rPr>
                <w:rFonts w:ascii="Calibri" w:hAnsi="Calibri" w:cs="Calibri"/>
                <w:sz w:val="17"/>
                <w:szCs w:val="17"/>
                <w:lang w:val="en-US"/>
              </w:rPr>
              <w:t xml:space="preserve">against </w:t>
            </w:r>
            <w:r w:rsidR="00693B87" w:rsidRPr="001777FA">
              <w:rPr>
                <w:rFonts w:ascii="Calibri" w:hAnsi="Calibri" w:cs="Calibri"/>
                <w:sz w:val="17"/>
                <w:szCs w:val="17"/>
                <w:lang w:val="en-US"/>
              </w:rPr>
              <w:t>the EUR</w:t>
            </w:r>
            <w:r w:rsidR="00FA316A" w:rsidRPr="001777FA">
              <w:rPr>
                <w:rFonts w:ascii="Calibri" w:hAnsi="Calibri" w:cs="Calibri"/>
                <w:sz w:val="17"/>
                <w:szCs w:val="17"/>
                <w:lang w:val="en-US"/>
              </w:rPr>
              <w:t xml:space="preserve"> with </w:t>
            </w:r>
            <w:r w:rsidR="001777FA" w:rsidRPr="001777FA">
              <w:rPr>
                <w:rFonts w:ascii="Calibri" w:hAnsi="Calibri" w:cs="Calibri"/>
                <w:sz w:val="17"/>
                <w:szCs w:val="17"/>
                <w:lang w:val="en-US"/>
              </w:rPr>
              <w:t>+0.46</w:t>
            </w:r>
            <w:r w:rsidR="00FA316A" w:rsidRPr="001777FA">
              <w:rPr>
                <w:rFonts w:ascii="Calibri" w:hAnsi="Calibri" w:cs="Calibri"/>
                <w:sz w:val="17"/>
                <w:szCs w:val="17"/>
                <w:lang w:val="en-US"/>
              </w:rPr>
              <w:t>%</w:t>
            </w:r>
            <w:r w:rsidR="006B4BC4" w:rsidRPr="001777FA">
              <w:rPr>
                <w:rFonts w:ascii="Calibri" w:hAnsi="Calibri" w:cs="Calibri"/>
                <w:sz w:val="17"/>
                <w:szCs w:val="17"/>
                <w:lang w:val="en-US"/>
              </w:rPr>
              <w:t xml:space="preserve">. </w:t>
            </w:r>
          </w:p>
          <w:p w14:paraId="71BC50F0" w14:textId="5DCEAFE8" w:rsidR="008520DA" w:rsidRPr="001777FA" w:rsidRDefault="00CF29BA" w:rsidP="003D1AF6">
            <w:pPr>
              <w:tabs>
                <w:tab w:val="left" w:pos="6073"/>
              </w:tabs>
              <w:suppressAutoHyphens/>
              <w:spacing w:after="120" w:line="240" w:lineRule="auto"/>
              <w:ind w:left="-74"/>
              <w:jc w:val="both"/>
              <w:rPr>
                <w:rFonts w:ascii="Calibri" w:hAnsi="Calibri" w:cs="Calibri"/>
                <w:sz w:val="17"/>
                <w:szCs w:val="17"/>
                <w:lang w:val="en-US"/>
              </w:rPr>
            </w:pPr>
            <w:r w:rsidRPr="001777FA">
              <w:rPr>
                <w:rFonts w:ascii="Calibri" w:hAnsi="Calibri" w:cs="Calibri"/>
                <w:sz w:val="17"/>
                <w:szCs w:val="17"/>
                <w:lang w:val="en-US"/>
              </w:rPr>
              <w:t xml:space="preserve">In </w:t>
            </w:r>
            <w:r w:rsidR="008520DA" w:rsidRPr="001777FA">
              <w:rPr>
                <w:rFonts w:ascii="Calibri" w:hAnsi="Calibri" w:cs="Calibri"/>
                <w:sz w:val="17"/>
                <w:szCs w:val="17"/>
                <w:lang w:val="en-US"/>
              </w:rPr>
              <w:t>May</w:t>
            </w:r>
            <w:r w:rsidR="000B7B09" w:rsidRPr="001777FA">
              <w:rPr>
                <w:rFonts w:ascii="Calibri" w:hAnsi="Calibri" w:cs="Calibri"/>
                <w:sz w:val="17"/>
                <w:szCs w:val="17"/>
                <w:lang w:val="en-US"/>
              </w:rPr>
              <w:t>,</w:t>
            </w:r>
            <w:r w:rsidR="008520DA" w:rsidRPr="001777FA">
              <w:rPr>
                <w:rFonts w:ascii="Calibri" w:hAnsi="Calibri" w:cs="Calibri"/>
                <w:sz w:val="17"/>
                <w:szCs w:val="17"/>
                <w:lang w:val="en-US"/>
              </w:rPr>
              <w:t xml:space="preserve"> the same stock that stood out in April was the best performer in our basket – Nokia, a 5% position – was up 35.2% in our basket and we took profit on the stock once at the beginning of the month and once at the end. They outperformed as they launched agentic AI broadband tools and an AI Networking Innovation lab. This reinforced the investor enthusiasm around optical networks, AI Infrastructure demand. ASML, also a 5% </w:t>
            </w:r>
            <w:r w:rsidR="00FF2F3A" w:rsidRPr="001777FA">
              <w:rPr>
                <w:rFonts w:ascii="Calibri" w:hAnsi="Calibri" w:cs="Calibri"/>
                <w:sz w:val="17"/>
                <w:szCs w:val="17"/>
                <w:lang w:val="en-US"/>
              </w:rPr>
              <w:t>position,</w:t>
            </w:r>
            <w:r w:rsidR="008520DA" w:rsidRPr="001777FA">
              <w:rPr>
                <w:rFonts w:ascii="Calibri" w:hAnsi="Calibri" w:cs="Calibri"/>
                <w:sz w:val="17"/>
                <w:szCs w:val="17"/>
                <w:lang w:val="en-US"/>
              </w:rPr>
              <w:t xml:space="preserve"> was the </w:t>
            </w:r>
            <w:proofErr w:type="gramStart"/>
            <w:r w:rsidR="008520DA" w:rsidRPr="001777FA">
              <w:rPr>
                <w:rFonts w:ascii="Calibri" w:hAnsi="Calibri" w:cs="Calibri"/>
                <w:sz w:val="17"/>
                <w:szCs w:val="17"/>
                <w:lang w:val="en-US"/>
              </w:rPr>
              <w:t>second best</w:t>
            </w:r>
            <w:proofErr w:type="gramEnd"/>
            <w:r w:rsidR="008520DA" w:rsidRPr="001777FA">
              <w:rPr>
                <w:rFonts w:ascii="Calibri" w:hAnsi="Calibri" w:cs="Calibri"/>
                <w:sz w:val="17"/>
                <w:szCs w:val="17"/>
                <w:lang w:val="en-US"/>
              </w:rPr>
              <w:t xml:space="preserve"> performing stock, performing 21.1% in May. They profited from a broad momentum increase in the semiconductor space with AI chip shortages reinforcing the demand for their </w:t>
            </w:r>
            <w:r w:rsidR="00FF2F3A" w:rsidRPr="001777FA">
              <w:rPr>
                <w:rFonts w:ascii="Calibri" w:hAnsi="Calibri" w:cs="Calibri"/>
                <w:sz w:val="17"/>
                <w:szCs w:val="17"/>
                <w:lang w:val="en-US"/>
              </w:rPr>
              <w:t xml:space="preserve">EUV lithography systems. Apple, a 5% US position performed 16.2% in EUR terms driven by a blowout +2 earnings report with iPhone sales up 22% YoY and the announcement of a $100 billion share buyback program.  </w:t>
            </w:r>
            <w:r w:rsidR="00834283" w:rsidRPr="001777FA">
              <w:rPr>
                <w:rFonts w:ascii="Calibri" w:hAnsi="Calibri" w:cs="Calibri"/>
                <w:sz w:val="17"/>
                <w:szCs w:val="17"/>
                <w:lang w:val="en-US"/>
              </w:rPr>
              <w:t xml:space="preserve">Our US bank position, Morgan Stanley, also outperformed (+13.5%) with its 2.5% weight in the portfolio. There were analyst upgrades to the bank as their involvement in the SpaceX IPO will generate considerable revenue for them. Munich Re was the weakest performer -17.8% in the basket </w:t>
            </w:r>
            <w:r w:rsidR="00FA12AA" w:rsidRPr="001777FA">
              <w:rPr>
                <w:rFonts w:ascii="Calibri" w:hAnsi="Calibri" w:cs="Calibri"/>
                <w:sz w:val="17"/>
                <w:szCs w:val="17"/>
                <w:lang w:val="en-US"/>
              </w:rPr>
              <w:t>and although they released strong Q1 earnings and their Dividend payment was at the beginning of May, their April renewals showed a risk adjusted price decline of about 3.1% after years of price increases.</w:t>
            </w:r>
          </w:p>
          <w:p w14:paraId="716186A0" w14:textId="4C455F40" w:rsidR="00834283" w:rsidRPr="001777FA" w:rsidRDefault="00834283" w:rsidP="003D1AF6">
            <w:pPr>
              <w:tabs>
                <w:tab w:val="left" w:pos="6073"/>
              </w:tabs>
              <w:suppressAutoHyphens/>
              <w:spacing w:after="120" w:line="240" w:lineRule="auto"/>
              <w:ind w:left="-74"/>
              <w:jc w:val="both"/>
              <w:rPr>
                <w:rFonts w:ascii="Calibri" w:hAnsi="Calibri" w:cs="Calibri"/>
                <w:sz w:val="17"/>
                <w:szCs w:val="17"/>
                <w:lang w:val="en-US"/>
              </w:rPr>
            </w:pPr>
            <w:r w:rsidRPr="001777FA">
              <w:rPr>
                <w:rFonts w:ascii="Calibri" w:hAnsi="Calibri" w:cs="Calibri"/>
                <w:sz w:val="17"/>
                <w:szCs w:val="17"/>
                <w:lang w:val="en-US"/>
              </w:rPr>
              <w:t xml:space="preserve">In May </w:t>
            </w:r>
            <w:r w:rsidR="00FA12AA" w:rsidRPr="001777FA">
              <w:rPr>
                <w:rFonts w:ascii="Calibri" w:hAnsi="Calibri" w:cs="Calibri"/>
                <w:sz w:val="17"/>
                <w:szCs w:val="17"/>
                <w:lang w:val="en-US"/>
              </w:rPr>
              <w:t>we added three Swiss companies, ABB that raised its 2026 growth and margin expectations on strong electrification and automation demand; VAT Group that s</w:t>
            </w:r>
            <w:r w:rsidR="001777FA" w:rsidRPr="001777FA">
              <w:rPr>
                <w:rFonts w:ascii="Calibri" w:hAnsi="Calibri" w:cs="Calibri"/>
                <w:sz w:val="17"/>
                <w:szCs w:val="17"/>
                <w:lang w:val="en-US"/>
              </w:rPr>
              <w:t xml:space="preserve">aw a 47% surge in semiconductor equipment orders driven by AI; and EMS Chemie on resilient specialty polymer demand. In Europe we added Banco Santander that demonstrated strong earnings in retail and commercial </w:t>
            </w:r>
            <w:proofErr w:type="gramStart"/>
            <w:r w:rsidR="001777FA" w:rsidRPr="001777FA">
              <w:rPr>
                <w:rFonts w:ascii="Calibri" w:hAnsi="Calibri" w:cs="Calibri"/>
                <w:sz w:val="17"/>
                <w:szCs w:val="17"/>
                <w:lang w:val="en-US"/>
              </w:rPr>
              <w:t>banking, and</w:t>
            </w:r>
            <w:proofErr w:type="gramEnd"/>
            <w:r w:rsidR="001777FA" w:rsidRPr="001777FA">
              <w:rPr>
                <w:rFonts w:ascii="Calibri" w:hAnsi="Calibri" w:cs="Calibri"/>
                <w:sz w:val="17"/>
                <w:szCs w:val="17"/>
                <w:lang w:val="en-US"/>
              </w:rPr>
              <w:t xml:space="preserve"> diversified our aerospace exposure by adding Rolls Royce to the mix. </w:t>
            </w:r>
          </w:p>
          <w:p w14:paraId="44886D63" w14:textId="62ACD9DD" w:rsidR="00505BE4" w:rsidRPr="00924920" w:rsidRDefault="000236D4" w:rsidP="001777FA">
            <w:pPr>
              <w:tabs>
                <w:tab w:val="left" w:pos="6073"/>
              </w:tabs>
              <w:suppressAutoHyphens/>
              <w:spacing w:after="120" w:line="240" w:lineRule="auto"/>
              <w:ind w:left="-74"/>
              <w:jc w:val="both"/>
              <w:rPr>
                <w:rFonts w:ascii="Calibri" w:hAnsi="Calibri" w:cs="Calibri"/>
                <w:sz w:val="18"/>
                <w:szCs w:val="18"/>
                <w:lang w:val="en-US"/>
              </w:rPr>
            </w:pPr>
            <w:r w:rsidRPr="00DA632B">
              <w:rPr>
                <w:rFonts w:ascii="Calibri" w:hAnsi="Calibri" w:cs="Calibri"/>
                <w:sz w:val="16"/>
                <w:szCs w:val="16"/>
                <w:lang w:val="en-US"/>
              </w:rPr>
              <w:t xml:space="preserve"> </w:t>
            </w:r>
          </w:p>
        </w:tc>
        <w:tc>
          <w:tcPr>
            <w:tcW w:w="147" w:type="dxa"/>
            <w:tcBorders>
              <w:right w:val="single" w:sz="4" w:space="0" w:color="C00000"/>
            </w:tcBorders>
          </w:tcPr>
          <w:p w14:paraId="40D94C1A" w14:textId="650D5869" w:rsidR="00825411" w:rsidRPr="00336A7D" w:rsidRDefault="00825411">
            <w:pPr>
              <w:jc w:val="center"/>
              <w:rPr>
                <w:b/>
                <w:sz w:val="18"/>
                <w:highlight w:val="yellow"/>
                <w:lang w:val="en-US"/>
              </w:rPr>
            </w:pPr>
          </w:p>
        </w:tc>
        <w:tc>
          <w:tcPr>
            <w:tcW w:w="4522" w:type="dxa"/>
            <w:tcBorders>
              <w:top w:val="single" w:sz="4" w:space="0" w:color="C00000"/>
              <w:bottom w:val="single" w:sz="4" w:space="0" w:color="C00000"/>
              <w:right w:val="single" w:sz="4" w:space="0" w:color="C00000"/>
            </w:tcBorders>
          </w:tcPr>
          <w:p w14:paraId="6B4952D1" w14:textId="77777777" w:rsidR="00825411" w:rsidRPr="007F6E5E" w:rsidRDefault="00825411">
            <w:pPr>
              <w:rPr>
                <w:i/>
                <w:sz w:val="12"/>
                <w:szCs w:val="12"/>
                <w:lang w:val="en-US"/>
              </w:rPr>
            </w:pPr>
          </w:p>
          <w:p w14:paraId="76FAFFCD" w14:textId="57372266" w:rsidR="00825411" w:rsidRPr="00B231E7" w:rsidRDefault="00400365" w:rsidP="00981FE5">
            <w:pPr>
              <w:spacing w:after="0"/>
              <w:ind w:left="101"/>
              <w:rPr>
                <w:i/>
                <w:sz w:val="12"/>
                <w:szCs w:val="12"/>
                <w:lang w:val="en-US"/>
              </w:rPr>
            </w:pPr>
            <w:r w:rsidRPr="00400365">
              <w:rPr>
                <w:i/>
                <w:noProof/>
                <w:sz w:val="12"/>
                <w:szCs w:val="12"/>
                <w:lang w:val="en-US"/>
              </w:rPr>
              <w:drawing>
                <wp:inline distT="0" distB="0" distL="0" distR="0" wp14:anchorId="0FD2787D" wp14:editId="09E61419">
                  <wp:extent cx="2602486" cy="2609215"/>
                  <wp:effectExtent l="0" t="0" r="7620" b="635"/>
                  <wp:docPr id="122488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88288"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1786" r="1786"/>
                          <a:stretch>
                            <a:fillRect/>
                          </a:stretch>
                        </pic:blipFill>
                        <pic:spPr bwMode="auto">
                          <a:xfrm>
                            <a:off x="0" y="0"/>
                            <a:ext cx="2602486" cy="2609215"/>
                          </a:xfrm>
                          <a:prstGeom prst="rect">
                            <a:avLst/>
                          </a:prstGeom>
                          <a:noFill/>
                          <a:ln>
                            <a:noFill/>
                          </a:ln>
                          <a:extLst>
                            <a:ext uri="{53640926-AAD7-44D8-BBD7-CCE9431645EC}">
                              <a14:shadowObscured xmlns:a14="http://schemas.microsoft.com/office/drawing/2010/main"/>
                            </a:ext>
                          </a:extLst>
                        </pic:spPr>
                      </pic:pic>
                    </a:graphicData>
                  </a:graphic>
                </wp:inline>
              </w:drawing>
            </w:r>
          </w:p>
          <w:p w14:paraId="2A77F94E" w14:textId="20F07E63" w:rsidR="00390A40" w:rsidRDefault="00981FE5" w:rsidP="00726B3B">
            <w:pPr>
              <w:ind w:left="101" w:firstLine="149"/>
              <w:rPr>
                <w:i/>
                <w:sz w:val="14"/>
                <w:szCs w:val="14"/>
                <w:lang w:val="en-US"/>
              </w:rPr>
            </w:pPr>
            <w:r w:rsidRPr="00981FE5">
              <w:rPr>
                <w:i/>
                <w:sz w:val="14"/>
                <w:szCs w:val="14"/>
                <w:lang w:val="en-US"/>
              </w:rPr>
              <w:t>Current Composition (202</w:t>
            </w:r>
            <w:r w:rsidR="005B0F2F">
              <w:rPr>
                <w:i/>
                <w:sz w:val="14"/>
                <w:szCs w:val="14"/>
                <w:lang w:val="en-US"/>
              </w:rPr>
              <w:t>6</w:t>
            </w:r>
            <w:r w:rsidRPr="00981FE5">
              <w:rPr>
                <w:i/>
                <w:sz w:val="14"/>
                <w:szCs w:val="14"/>
                <w:lang w:val="en-US"/>
              </w:rPr>
              <w:t>)</w:t>
            </w:r>
          </w:p>
          <w:p w14:paraId="1D12D5B3" w14:textId="77777777" w:rsidR="00400365" w:rsidRDefault="00400365" w:rsidP="00726B3B">
            <w:pPr>
              <w:ind w:left="101" w:firstLine="149"/>
              <w:rPr>
                <w:i/>
                <w:sz w:val="14"/>
                <w:szCs w:val="14"/>
                <w:lang w:val="en-US"/>
              </w:rPr>
            </w:pPr>
          </w:p>
          <w:p w14:paraId="726B850E" w14:textId="5051CD02" w:rsidR="00825411" w:rsidRDefault="00601B20" w:rsidP="00981FE5">
            <w:pPr>
              <w:spacing w:after="0"/>
              <w:ind w:left="101"/>
              <w:rPr>
                <w:i/>
                <w:sz w:val="14"/>
                <w:szCs w:val="14"/>
                <w:lang w:val="en-US"/>
              </w:rPr>
            </w:pPr>
            <w:r>
              <w:rPr>
                <w:i/>
                <w:noProof/>
                <w:sz w:val="14"/>
                <w:szCs w:val="14"/>
                <w:lang w:val="en-US"/>
              </w:rPr>
              <w:drawing>
                <wp:inline distT="0" distB="0" distL="0" distR="0" wp14:anchorId="7655408D" wp14:editId="41613367">
                  <wp:extent cx="2654300" cy="1590371"/>
                  <wp:effectExtent l="0" t="0" r="0" b="0"/>
                  <wp:docPr id="1687481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9779" cy="1593654"/>
                          </a:xfrm>
                          <a:prstGeom prst="rect">
                            <a:avLst/>
                          </a:prstGeom>
                          <a:noFill/>
                        </pic:spPr>
                      </pic:pic>
                    </a:graphicData>
                  </a:graphic>
                </wp:inline>
              </w:drawing>
            </w:r>
          </w:p>
          <w:p w14:paraId="21DC6D5D" w14:textId="6FE1809A" w:rsidR="00825411" w:rsidRDefault="00825411" w:rsidP="00726B3B">
            <w:pPr>
              <w:spacing w:after="0"/>
              <w:ind w:left="101" w:firstLine="239"/>
              <w:rPr>
                <w:i/>
                <w:sz w:val="14"/>
                <w:szCs w:val="14"/>
                <w:lang w:val="en-US"/>
              </w:rPr>
            </w:pPr>
            <w:r>
              <w:rPr>
                <w:i/>
                <w:sz w:val="14"/>
                <w:szCs w:val="14"/>
                <w:lang w:val="en-US"/>
              </w:rPr>
              <w:t>Perfo</w:t>
            </w:r>
            <w:r w:rsidR="009A0CDF">
              <w:rPr>
                <w:i/>
                <w:sz w:val="14"/>
                <w:szCs w:val="14"/>
                <w:lang w:val="en-US"/>
              </w:rPr>
              <w:t>r</w:t>
            </w:r>
            <w:r>
              <w:rPr>
                <w:i/>
                <w:sz w:val="14"/>
                <w:szCs w:val="14"/>
                <w:lang w:val="en-US"/>
              </w:rPr>
              <w:t xml:space="preserve">mance </w:t>
            </w:r>
            <w:r w:rsidR="005B0F2F">
              <w:rPr>
                <w:i/>
                <w:sz w:val="14"/>
                <w:szCs w:val="14"/>
                <w:lang w:val="en-US"/>
              </w:rPr>
              <w:t>12m</w:t>
            </w:r>
            <w:r>
              <w:rPr>
                <w:i/>
                <w:sz w:val="14"/>
                <w:szCs w:val="14"/>
                <w:lang w:val="en-US"/>
              </w:rPr>
              <w:t>: Source Bloomberg</w:t>
            </w:r>
          </w:p>
          <w:p w14:paraId="205C4541" w14:textId="5FF603FE" w:rsidR="00825411" w:rsidRPr="00CC2DDF" w:rsidRDefault="00825411" w:rsidP="006E41DC">
            <w:pPr>
              <w:spacing w:after="0"/>
              <w:rPr>
                <w:i/>
                <w:sz w:val="14"/>
                <w:szCs w:val="14"/>
                <w:lang w:val="en-US"/>
              </w:rPr>
            </w:pPr>
          </w:p>
        </w:tc>
      </w:tr>
    </w:tbl>
    <w:p w14:paraId="4CBBF75C" w14:textId="77777777" w:rsidR="00825411" w:rsidRPr="00566A59" w:rsidRDefault="00825411" w:rsidP="00825411">
      <w:pPr>
        <w:pStyle w:val="Heading1"/>
        <w:spacing w:before="0"/>
        <w:rPr>
          <w:rFonts w:asciiTheme="minorHAnsi" w:hAnsiTheme="minorHAnsi"/>
          <w:color w:val="C00000"/>
          <w:sz w:val="24"/>
          <w:lang w:val="en-US"/>
        </w:rPr>
      </w:pPr>
      <w:r w:rsidRPr="00394C4C">
        <w:rPr>
          <w:rFonts w:asciiTheme="minorHAnsi" w:hAnsiTheme="minorHAnsi"/>
          <w:color w:val="C00000"/>
          <w:sz w:val="24"/>
          <w:lang w:val="en-US"/>
        </w:rPr>
        <w:lastRenderedPageBreak/>
        <w:t>Return</w:t>
      </w:r>
    </w:p>
    <w:tbl>
      <w:tblPr>
        <w:tblStyle w:val="TableGrid"/>
        <w:tblW w:w="11196" w:type="pct"/>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0" w:type="dxa"/>
          <w:right w:w="70" w:type="dxa"/>
        </w:tblCellMar>
        <w:tblLook w:val="04A0" w:firstRow="1" w:lastRow="0" w:firstColumn="1" w:lastColumn="0" w:noHBand="0" w:noVBand="1"/>
      </w:tblPr>
      <w:tblGrid>
        <w:gridCol w:w="10317"/>
        <w:gridCol w:w="10317"/>
      </w:tblGrid>
      <w:tr w:rsidR="00825411" w:rsidRPr="001153A8" w14:paraId="29C38F3D" w14:textId="77777777" w:rsidTr="00FA75B1">
        <w:tc>
          <w:tcPr>
            <w:tcW w:w="10317" w:type="dxa"/>
          </w:tcPr>
          <w:tbl>
            <w:tblPr>
              <w:tblStyle w:val="TableGrid"/>
              <w:tblW w:w="9522" w:type="dxa"/>
              <w:tblLayout w:type="fixed"/>
              <w:tblLook w:val="04A0" w:firstRow="1" w:lastRow="0" w:firstColumn="1" w:lastColumn="0" w:noHBand="0" w:noVBand="1"/>
            </w:tblPr>
            <w:tblGrid>
              <w:gridCol w:w="534"/>
              <w:gridCol w:w="767"/>
              <w:gridCol w:w="660"/>
              <w:gridCol w:w="640"/>
              <w:gridCol w:w="650"/>
              <w:gridCol w:w="650"/>
              <w:gridCol w:w="650"/>
              <w:gridCol w:w="650"/>
              <w:gridCol w:w="650"/>
              <w:gridCol w:w="650"/>
              <w:gridCol w:w="650"/>
              <w:gridCol w:w="801"/>
              <w:gridCol w:w="713"/>
              <w:gridCol w:w="857"/>
            </w:tblGrid>
            <w:tr w:rsidR="00825411" w:rsidRPr="00D70A30" w14:paraId="09794058" w14:textId="77777777">
              <w:trPr>
                <w:trHeight w:val="437"/>
              </w:trPr>
              <w:tc>
                <w:tcPr>
                  <w:tcW w:w="534" w:type="dxa"/>
                  <w:shd w:val="clear" w:color="auto" w:fill="D9D9D9" w:themeFill="background1" w:themeFillShade="D9"/>
                  <w:vAlign w:val="center"/>
                </w:tcPr>
                <w:p w14:paraId="620D593D" w14:textId="77777777" w:rsidR="00825411" w:rsidRPr="00D70A30" w:rsidRDefault="00825411">
                  <w:pPr>
                    <w:pStyle w:val="Heading1"/>
                    <w:spacing w:before="0"/>
                    <w:jc w:val="center"/>
                    <w:rPr>
                      <w:rFonts w:asciiTheme="minorHAnsi" w:hAnsiTheme="minorHAnsi"/>
                      <w:color w:val="auto"/>
                      <w:sz w:val="13"/>
                      <w:szCs w:val="13"/>
                      <w:lang w:val="en-US"/>
                    </w:rPr>
                  </w:pPr>
                </w:p>
              </w:tc>
              <w:tc>
                <w:tcPr>
                  <w:tcW w:w="767" w:type="dxa"/>
                  <w:shd w:val="clear" w:color="auto" w:fill="D9D9D9" w:themeFill="background1" w:themeFillShade="D9"/>
                  <w:vAlign w:val="center"/>
                </w:tcPr>
                <w:p w14:paraId="35256AAD"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Jan</w:t>
                  </w:r>
                </w:p>
              </w:tc>
              <w:tc>
                <w:tcPr>
                  <w:tcW w:w="660" w:type="dxa"/>
                  <w:shd w:val="clear" w:color="auto" w:fill="D9D9D9" w:themeFill="background1" w:themeFillShade="D9"/>
                  <w:vAlign w:val="center"/>
                </w:tcPr>
                <w:p w14:paraId="777A4FCD"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Feb</w:t>
                  </w:r>
                </w:p>
              </w:tc>
              <w:tc>
                <w:tcPr>
                  <w:tcW w:w="640" w:type="dxa"/>
                  <w:shd w:val="clear" w:color="auto" w:fill="D9D9D9" w:themeFill="background1" w:themeFillShade="D9"/>
                  <w:vAlign w:val="center"/>
                </w:tcPr>
                <w:p w14:paraId="2A546D53"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Mar</w:t>
                  </w:r>
                </w:p>
              </w:tc>
              <w:tc>
                <w:tcPr>
                  <w:tcW w:w="650" w:type="dxa"/>
                  <w:shd w:val="clear" w:color="auto" w:fill="D9D9D9" w:themeFill="background1" w:themeFillShade="D9"/>
                  <w:vAlign w:val="center"/>
                </w:tcPr>
                <w:p w14:paraId="03F2DAC1"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Apr</w:t>
                  </w:r>
                </w:p>
              </w:tc>
              <w:tc>
                <w:tcPr>
                  <w:tcW w:w="650" w:type="dxa"/>
                  <w:shd w:val="clear" w:color="auto" w:fill="D9D9D9" w:themeFill="background1" w:themeFillShade="D9"/>
                  <w:vAlign w:val="center"/>
                </w:tcPr>
                <w:p w14:paraId="16BECA2D"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May</w:t>
                  </w:r>
                </w:p>
              </w:tc>
              <w:tc>
                <w:tcPr>
                  <w:tcW w:w="650" w:type="dxa"/>
                  <w:shd w:val="clear" w:color="auto" w:fill="D9D9D9" w:themeFill="background1" w:themeFillShade="D9"/>
                  <w:vAlign w:val="center"/>
                </w:tcPr>
                <w:p w14:paraId="305ECC55"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Jun</w:t>
                  </w:r>
                </w:p>
              </w:tc>
              <w:tc>
                <w:tcPr>
                  <w:tcW w:w="650" w:type="dxa"/>
                  <w:shd w:val="clear" w:color="auto" w:fill="D9D9D9" w:themeFill="background1" w:themeFillShade="D9"/>
                  <w:vAlign w:val="center"/>
                </w:tcPr>
                <w:p w14:paraId="3FD1A442"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Jul</w:t>
                  </w:r>
                </w:p>
              </w:tc>
              <w:tc>
                <w:tcPr>
                  <w:tcW w:w="650" w:type="dxa"/>
                  <w:shd w:val="clear" w:color="auto" w:fill="D9D9D9" w:themeFill="background1" w:themeFillShade="D9"/>
                  <w:vAlign w:val="center"/>
                </w:tcPr>
                <w:p w14:paraId="68974779"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Aug</w:t>
                  </w:r>
                </w:p>
              </w:tc>
              <w:tc>
                <w:tcPr>
                  <w:tcW w:w="650" w:type="dxa"/>
                  <w:shd w:val="clear" w:color="auto" w:fill="D9D9D9" w:themeFill="background1" w:themeFillShade="D9"/>
                  <w:vAlign w:val="center"/>
                </w:tcPr>
                <w:p w14:paraId="0E9DE273"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Sep</w:t>
                  </w:r>
                </w:p>
              </w:tc>
              <w:tc>
                <w:tcPr>
                  <w:tcW w:w="650" w:type="dxa"/>
                  <w:shd w:val="clear" w:color="auto" w:fill="D9D9D9" w:themeFill="background1" w:themeFillShade="D9"/>
                  <w:vAlign w:val="center"/>
                </w:tcPr>
                <w:p w14:paraId="5A05020F"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Oct</w:t>
                  </w:r>
                </w:p>
              </w:tc>
              <w:tc>
                <w:tcPr>
                  <w:tcW w:w="801" w:type="dxa"/>
                  <w:shd w:val="clear" w:color="auto" w:fill="D9D9D9" w:themeFill="background1" w:themeFillShade="D9"/>
                  <w:vAlign w:val="center"/>
                </w:tcPr>
                <w:p w14:paraId="0D2CE0B4"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Nov</w:t>
                  </w:r>
                </w:p>
              </w:tc>
              <w:tc>
                <w:tcPr>
                  <w:tcW w:w="713" w:type="dxa"/>
                  <w:shd w:val="clear" w:color="auto" w:fill="D9D9D9" w:themeFill="background1" w:themeFillShade="D9"/>
                  <w:vAlign w:val="center"/>
                </w:tcPr>
                <w:p w14:paraId="0DB51869"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Dec</w:t>
                  </w:r>
                </w:p>
              </w:tc>
              <w:tc>
                <w:tcPr>
                  <w:tcW w:w="857" w:type="dxa"/>
                  <w:shd w:val="clear" w:color="auto" w:fill="D9D9D9" w:themeFill="background1" w:themeFillShade="D9"/>
                  <w:vAlign w:val="center"/>
                </w:tcPr>
                <w:p w14:paraId="77761E67"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YTD</w:t>
                  </w:r>
                </w:p>
              </w:tc>
            </w:tr>
            <w:tr w:rsidR="00825411" w:rsidRPr="00D70A30" w14:paraId="079F822F" w14:textId="77777777">
              <w:trPr>
                <w:trHeight w:val="38"/>
              </w:trPr>
              <w:tc>
                <w:tcPr>
                  <w:tcW w:w="534" w:type="dxa"/>
                  <w:shd w:val="clear" w:color="auto" w:fill="D9D9D9" w:themeFill="background1" w:themeFillShade="D9"/>
                  <w:vAlign w:val="center"/>
                </w:tcPr>
                <w:p w14:paraId="0BA62B3E"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2013</w:t>
                  </w:r>
                </w:p>
              </w:tc>
              <w:tc>
                <w:tcPr>
                  <w:tcW w:w="767" w:type="dxa"/>
                  <w:vAlign w:val="center"/>
                </w:tcPr>
                <w:p w14:paraId="00D590A4" w14:textId="77777777" w:rsidR="00825411" w:rsidRPr="00D70A30" w:rsidRDefault="00825411">
                  <w:pPr>
                    <w:pStyle w:val="Heading1"/>
                    <w:spacing w:before="0"/>
                    <w:jc w:val="center"/>
                    <w:rPr>
                      <w:rFonts w:asciiTheme="minorHAnsi" w:hAnsiTheme="minorHAnsi"/>
                      <w:b w:val="0"/>
                      <w:color w:val="auto"/>
                      <w:sz w:val="13"/>
                      <w:szCs w:val="13"/>
                      <w:lang w:val="en-US"/>
                    </w:rPr>
                  </w:pPr>
                </w:p>
              </w:tc>
              <w:tc>
                <w:tcPr>
                  <w:tcW w:w="660" w:type="dxa"/>
                  <w:vAlign w:val="center"/>
                </w:tcPr>
                <w:p w14:paraId="1C1A9003" w14:textId="77777777" w:rsidR="00825411" w:rsidRPr="00D70A30" w:rsidRDefault="00825411">
                  <w:pPr>
                    <w:pStyle w:val="Heading1"/>
                    <w:spacing w:before="0"/>
                    <w:jc w:val="center"/>
                    <w:rPr>
                      <w:rFonts w:asciiTheme="minorHAnsi" w:hAnsiTheme="minorHAnsi"/>
                      <w:b w:val="0"/>
                      <w:color w:val="auto"/>
                      <w:sz w:val="13"/>
                      <w:szCs w:val="13"/>
                      <w:lang w:val="en-US"/>
                    </w:rPr>
                  </w:pPr>
                </w:p>
              </w:tc>
              <w:tc>
                <w:tcPr>
                  <w:tcW w:w="640" w:type="dxa"/>
                  <w:vAlign w:val="center"/>
                </w:tcPr>
                <w:p w14:paraId="421391EA" w14:textId="77777777" w:rsidR="00825411" w:rsidRPr="00D70A30" w:rsidRDefault="00825411">
                  <w:pPr>
                    <w:pStyle w:val="Heading1"/>
                    <w:spacing w:before="0"/>
                    <w:jc w:val="center"/>
                    <w:rPr>
                      <w:rFonts w:asciiTheme="minorHAnsi" w:hAnsiTheme="minorHAnsi"/>
                      <w:b w:val="0"/>
                      <w:color w:val="auto"/>
                      <w:sz w:val="13"/>
                      <w:szCs w:val="13"/>
                      <w:lang w:val="en-US"/>
                    </w:rPr>
                  </w:pPr>
                </w:p>
              </w:tc>
              <w:tc>
                <w:tcPr>
                  <w:tcW w:w="650" w:type="dxa"/>
                  <w:vAlign w:val="center"/>
                </w:tcPr>
                <w:p w14:paraId="03D1A6A6" w14:textId="77777777" w:rsidR="00825411" w:rsidRPr="00D70A30" w:rsidRDefault="00825411">
                  <w:pPr>
                    <w:pStyle w:val="Heading1"/>
                    <w:spacing w:before="0"/>
                    <w:jc w:val="center"/>
                    <w:rPr>
                      <w:rFonts w:asciiTheme="minorHAnsi" w:hAnsiTheme="minorHAnsi"/>
                      <w:b w:val="0"/>
                      <w:color w:val="auto"/>
                      <w:sz w:val="13"/>
                      <w:szCs w:val="13"/>
                      <w:lang w:val="en-US"/>
                    </w:rPr>
                  </w:pPr>
                </w:p>
              </w:tc>
              <w:tc>
                <w:tcPr>
                  <w:tcW w:w="650" w:type="dxa"/>
                  <w:vAlign w:val="center"/>
                </w:tcPr>
                <w:p w14:paraId="1CF2E800" w14:textId="77777777" w:rsidR="00825411" w:rsidRPr="00D70A30" w:rsidRDefault="00825411">
                  <w:pPr>
                    <w:pStyle w:val="Heading1"/>
                    <w:spacing w:before="0"/>
                    <w:jc w:val="center"/>
                    <w:rPr>
                      <w:rFonts w:asciiTheme="minorHAnsi" w:hAnsiTheme="minorHAnsi"/>
                      <w:b w:val="0"/>
                      <w:color w:val="auto"/>
                      <w:sz w:val="13"/>
                      <w:szCs w:val="13"/>
                      <w:lang w:val="en-US"/>
                    </w:rPr>
                  </w:pPr>
                </w:p>
              </w:tc>
              <w:tc>
                <w:tcPr>
                  <w:tcW w:w="650" w:type="dxa"/>
                  <w:vAlign w:val="center"/>
                </w:tcPr>
                <w:p w14:paraId="2DBB1C98"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-0.45%</w:t>
                  </w:r>
                </w:p>
              </w:tc>
              <w:tc>
                <w:tcPr>
                  <w:tcW w:w="650" w:type="dxa"/>
                  <w:vAlign w:val="center"/>
                </w:tcPr>
                <w:p w14:paraId="7E44CFD4"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3.76%</w:t>
                  </w:r>
                </w:p>
              </w:tc>
              <w:tc>
                <w:tcPr>
                  <w:tcW w:w="650" w:type="dxa"/>
                  <w:vAlign w:val="center"/>
                </w:tcPr>
                <w:p w14:paraId="30E5E556"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-1.26%</w:t>
                  </w:r>
                </w:p>
              </w:tc>
              <w:tc>
                <w:tcPr>
                  <w:tcW w:w="650" w:type="dxa"/>
                  <w:vAlign w:val="center"/>
                </w:tcPr>
                <w:p w14:paraId="7E9BEEAD"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3.13%</w:t>
                  </w:r>
                </w:p>
              </w:tc>
              <w:tc>
                <w:tcPr>
                  <w:tcW w:w="650" w:type="dxa"/>
                  <w:vAlign w:val="center"/>
                </w:tcPr>
                <w:p w14:paraId="3F206C44"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2.37%</w:t>
                  </w:r>
                </w:p>
              </w:tc>
              <w:tc>
                <w:tcPr>
                  <w:tcW w:w="801" w:type="dxa"/>
                  <w:vAlign w:val="center"/>
                </w:tcPr>
                <w:p w14:paraId="59E64BA3"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1.85%</w:t>
                  </w:r>
                </w:p>
              </w:tc>
              <w:tc>
                <w:tcPr>
                  <w:tcW w:w="713" w:type="dxa"/>
                  <w:vAlign w:val="center"/>
                </w:tcPr>
                <w:p w14:paraId="72F08B5F"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-0.45%</w:t>
                  </w:r>
                </w:p>
              </w:tc>
              <w:tc>
                <w:tcPr>
                  <w:tcW w:w="857" w:type="dxa"/>
                  <w:vAlign w:val="center"/>
                </w:tcPr>
                <w:p w14:paraId="111FAF94"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9.18%</w:t>
                  </w:r>
                </w:p>
              </w:tc>
            </w:tr>
            <w:tr w:rsidR="00825411" w:rsidRPr="00D70A30" w14:paraId="134F5427" w14:textId="77777777">
              <w:trPr>
                <w:trHeight w:val="38"/>
              </w:trPr>
              <w:tc>
                <w:tcPr>
                  <w:tcW w:w="534" w:type="dxa"/>
                  <w:shd w:val="clear" w:color="auto" w:fill="D9D9D9" w:themeFill="background1" w:themeFillShade="D9"/>
                  <w:vAlign w:val="center"/>
                </w:tcPr>
                <w:p w14:paraId="0D51E825"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2014</w:t>
                  </w:r>
                </w:p>
              </w:tc>
              <w:tc>
                <w:tcPr>
                  <w:tcW w:w="767" w:type="dxa"/>
                  <w:vAlign w:val="center"/>
                </w:tcPr>
                <w:p w14:paraId="1A438738"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-2.29%</w:t>
                  </w:r>
                </w:p>
              </w:tc>
              <w:tc>
                <w:tcPr>
                  <w:tcW w:w="660" w:type="dxa"/>
                  <w:vAlign w:val="center"/>
                </w:tcPr>
                <w:p w14:paraId="2BA73687"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3.09%</w:t>
                  </w:r>
                </w:p>
              </w:tc>
              <w:tc>
                <w:tcPr>
                  <w:tcW w:w="640" w:type="dxa"/>
                  <w:vAlign w:val="center"/>
                </w:tcPr>
                <w:p w14:paraId="48E3A1F3"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0.73%</w:t>
                  </w:r>
                </w:p>
              </w:tc>
              <w:tc>
                <w:tcPr>
                  <w:tcW w:w="650" w:type="dxa"/>
                  <w:vAlign w:val="center"/>
                </w:tcPr>
                <w:p w14:paraId="5FC8B700"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1.53%</w:t>
                  </w:r>
                </w:p>
              </w:tc>
              <w:tc>
                <w:tcPr>
                  <w:tcW w:w="650" w:type="dxa"/>
                  <w:vAlign w:val="center"/>
                </w:tcPr>
                <w:p w14:paraId="32215F08"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2.66%</w:t>
                  </w:r>
                </w:p>
              </w:tc>
              <w:tc>
                <w:tcPr>
                  <w:tcW w:w="650" w:type="dxa"/>
                  <w:vAlign w:val="center"/>
                </w:tcPr>
                <w:p w14:paraId="45477C30"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0.43%</w:t>
                  </w:r>
                </w:p>
              </w:tc>
              <w:tc>
                <w:tcPr>
                  <w:tcW w:w="650" w:type="dxa"/>
                  <w:vAlign w:val="center"/>
                </w:tcPr>
                <w:p w14:paraId="627425D0"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-1.12%</w:t>
                  </w:r>
                </w:p>
              </w:tc>
              <w:tc>
                <w:tcPr>
                  <w:tcW w:w="650" w:type="dxa"/>
                  <w:vAlign w:val="center"/>
                </w:tcPr>
                <w:p w14:paraId="1CDB7761"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1.13%</w:t>
                  </w:r>
                </w:p>
              </w:tc>
              <w:tc>
                <w:tcPr>
                  <w:tcW w:w="650" w:type="dxa"/>
                  <w:vAlign w:val="center"/>
                </w:tcPr>
                <w:p w14:paraId="2A7F7D69"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0.95%</w:t>
                  </w:r>
                </w:p>
              </w:tc>
              <w:tc>
                <w:tcPr>
                  <w:tcW w:w="650" w:type="dxa"/>
                  <w:vAlign w:val="center"/>
                </w:tcPr>
                <w:p w14:paraId="77FAEF52"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-0.60%</w:t>
                  </w:r>
                </w:p>
              </w:tc>
              <w:tc>
                <w:tcPr>
                  <w:tcW w:w="801" w:type="dxa"/>
                  <w:vAlign w:val="center"/>
                </w:tcPr>
                <w:p w14:paraId="70BC163F"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6.09%</w:t>
                  </w:r>
                </w:p>
              </w:tc>
              <w:tc>
                <w:tcPr>
                  <w:tcW w:w="713" w:type="dxa"/>
                  <w:vAlign w:val="center"/>
                </w:tcPr>
                <w:p w14:paraId="7AAE59A8"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-2.26%</w:t>
                  </w:r>
                </w:p>
              </w:tc>
              <w:tc>
                <w:tcPr>
                  <w:tcW w:w="857" w:type="dxa"/>
                  <w:vAlign w:val="center"/>
                </w:tcPr>
                <w:p w14:paraId="0DB27C18"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10.52%</w:t>
                  </w:r>
                </w:p>
              </w:tc>
            </w:tr>
            <w:tr w:rsidR="00825411" w:rsidRPr="00D70A30" w14:paraId="15BC7246" w14:textId="77777777">
              <w:trPr>
                <w:trHeight w:val="38"/>
              </w:trPr>
              <w:tc>
                <w:tcPr>
                  <w:tcW w:w="534" w:type="dxa"/>
                  <w:shd w:val="clear" w:color="auto" w:fill="D9D9D9" w:themeFill="background1" w:themeFillShade="D9"/>
                  <w:vAlign w:val="center"/>
                </w:tcPr>
                <w:p w14:paraId="655C0ED1"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2015</w:t>
                  </w:r>
                </w:p>
              </w:tc>
              <w:tc>
                <w:tcPr>
                  <w:tcW w:w="767" w:type="dxa"/>
                  <w:vAlign w:val="center"/>
                </w:tcPr>
                <w:p w14:paraId="17B1600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7.71%</w:t>
                  </w:r>
                </w:p>
              </w:tc>
              <w:tc>
                <w:tcPr>
                  <w:tcW w:w="660" w:type="dxa"/>
                  <w:vAlign w:val="center"/>
                </w:tcPr>
                <w:p w14:paraId="0ABE19A2"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0.77%</w:t>
                  </w:r>
                </w:p>
              </w:tc>
              <w:tc>
                <w:tcPr>
                  <w:tcW w:w="640" w:type="dxa"/>
                  <w:vAlign w:val="center"/>
                </w:tcPr>
                <w:p w14:paraId="39E9FF98"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5.42%</w:t>
                  </w:r>
                </w:p>
              </w:tc>
              <w:tc>
                <w:tcPr>
                  <w:tcW w:w="650" w:type="dxa"/>
                  <w:vAlign w:val="center"/>
                </w:tcPr>
                <w:p w14:paraId="60FF3658"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2.75%</w:t>
                  </w:r>
                </w:p>
              </w:tc>
              <w:tc>
                <w:tcPr>
                  <w:tcW w:w="650" w:type="dxa"/>
                  <w:vAlign w:val="center"/>
                </w:tcPr>
                <w:p w14:paraId="39D4BCC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-1.34%</w:t>
                  </w:r>
                </w:p>
              </w:tc>
              <w:tc>
                <w:tcPr>
                  <w:tcW w:w="650" w:type="dxa"/>
                  <w:vAlign w:val="center"/>
                </w:tcPr>
                <w:p w14:paraId="315B5DA9"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-4.10%</w:t>
                  </w:r>
                </w:p>
              </w:tc>
              <w:tc>
                <w:tcPr>
                  <w:tcW w:w="650" w:type="dxa"/>
                  <w:vAlign w:val="center"/>
                </w:tcPr>
                <w:p w14:paraId="1924F2C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3.76%</w:t>
                  </w:r>
                </w:p>
              </w:tc>
              <w:tc>
                <w:tcPr>
                  <w:tcW w:w="650" w:type="dxa"/>
                  <w:vAlign w:val="center"/>
                </w:tcPr>
                <w:p w14:paraId="3982F36B"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-8.30%</w:t>
                  </w:r>
                </w:p>
              </w:tc>
              <w:tc>
                <w:tcPr>
                  <w:tcW w:w="650" w:type="dxa"/>
                  <w:vAlign w:val="center"/>
                </w:tcPr>
                <w:p w14:paraId="6FC12703"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-0.70%</w:t>
                  </w:r>
                </w:p>
              </w:tc>
              <w:tc>
                <w:tcPr>
                  <w:tcW w:w="650" w:type="dxa"/>
                  <w:vAlign w:val="center"/>
                </w:tcPr>
                <w:p w14:paraId="60028171"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3.59%</w:t>
                  </w:r>
                </w:p>
              </w:tc>
              <w:tc>
                <w:tcPr>
                  <w:tcW w:w="801" w:type="dxa"/>
                  <w:vAlign w:val="center"/>
                </w:tcPr>
                <w:p w14:paraId="5B2CC6DB"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1.96%</w:t>
                  </w:r>
                </w:p>
              </w:tc>
              <w:tc>
                <w:tcPr>
                  <w:tcW w:w="713" w:type="dxa"/>
                  <w:vAlign w:val="center"/>
                </w:tcPr>
                <w:p w14:paraId="5FD5B498"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-3.47%</w:t>
                  </w:r>
                </w:p>
              </w:tc>
              <w:tc>
                <w:tcPr>
                  <w:tcW w:w="857" w:type="dxa"/>
                  <w:vAlign w:val="center"/>
                </w:tcPr>
                <w:p w14:paraId="247E20C9"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8.19%</w:t>
                  </w:r>
                </w:p>
              </w:tc>
            </w:tr>
            <w:tr w:rsidR="00825411" w:rsidRPr="00D70A30" w14:paraId="191AEEB6" w14:textId="77777777">
              <w:trPr>
                <w:trHeight w:val="38"/>
              </w:trPr>
              <w:tc>
                <w:tcPr>
                  <w:tcW w:w="534" w:type="dxa"/>
                  <w:shd w:val="clear" w:color="auto" w:fill="D9D9D9" w:themeFill="background1" w:themeFillShade="D9"/>
                  <w:vAlign w:val="center"/>
                </w:tcPr>
                <w:p w14:paraId="7978A431"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2016</w:t>
                  </w:r>
                </w:p>
              </w:tc>
              <w:tc>
                <w:tcPr>
                  <w:tcW w:w="767" w:type="dxa"/>
                  <w:vAlign w:val="center"/>
                </w:tcPr>
                <w:p w14:paraId="243FF7EB"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-4.97%</w:t>
                  </w:r>
                </w:p>
              </w:tc>
              <w:tc>
                <w:tcPr>
                  <w:tcW w:w="660" w:type="dxa"/>
                  <w:vAlign w:val="center"/>
                </w:tcPr>
                <w:p w14:paraId="4516BF9F"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-1.93%</w:t>
                  </w:r>
                </w:p>
              </w:tc>
              <w:tc>
                <w:tcPr>
                  <w:tcW w:w="640" w:type="dxa"/>
                  <w:vAlign w:val="center"/>
                </w:tcPr>
                <w:p w14:paraId="14C21B05"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1.56%</w:t>
                  </w:r>
                </w:p>
              </w:tc>
              <w:tc>
                <w:tcPr>
                  <w:tcW w:w="650" w:type="dxa"/>
                  <w:vAlign w:val="center"/>
                </w:tcPr>
                <w:p w14:paraId="759343A3"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1.94%</w:t>
                  </w:r>
                </w:p>
              </w:tc>
              <w:tc>
                <w:tcPr>
                  <w:tcW w:w="650" w:type="dxa"/>
                  <w:vAlign w:val="center"/>
                </w:tcPr>
                <w:p w14:paraId="2D96C697"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2.69%</w:t>
                  </w:r>
                </w:p>
              </w:tc>
              <w:tc>
                <w:tcPr>
                  <w:tcW w:w="650" w:type="dxa"/>
                  <w:vAlign w:val="center"/>
                </w:tcPr>
                <w:p w14:paraId="0C4D6ACC"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1.36%</w:t>
                  </w:r>
                </w:p>
              </w:tc>
              <w:tc>
                <w:tcPr>
                  <w:tcW w:w="650" w:type="dxa"/>
                  <w:vAlign w:val="center"/>
                </w:tcPr>
                <w:p w14:paraId="1106C2B8"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0.22%</w:t>
                  </w:r>
                </w:p>
              </w:tc>
              <w:tc>
                <w:tcPr>
                  <w:tcW w:w="650" w:type="dxa"/>
                  <w:vAlign w:val="center"/>
                </w:tcPr>
                <w:p w14:paraId="4B68BF92"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-1.65%</w:t>
                  </w:r>
                </w:p>
              </w:tc>
              <w:tc>
                <w:tcPr>
                  <w:tcW w:w="650" w:type="dxa"/>
                  <w:vAlign w:val="center"/>
                </w:tcPr>
                <w:p w14:paraId="0C8A1CC2"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0.46%</w:t>
                  </w:r>
                </w:p>
              </w:tc>
              <w:tc>
                <w:tcPr>
                  <w:tcW w:w="650" w:type="dxa"/>
                  <w:vAlign w:val="center"/>
                </w:tcPr>
                <w:p w14:paraId="297DF45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-1.04%</w:t>
                  </w:r>
                </w:p>
              </w:tc>
              <w:tc>
                <w:tcPr>
                  <w:tcW w:w="801" w:type="dxa"/>
                  <w:vAlign w:val="center"/>
                </w:tcPr>
                <w:p w14:paraId="6013EB2C"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-1.31%</w:t>
                  </w:r>
                </w:p>
              </w:tc>
              <w:tc>
                <w:tcPr>
                  <w:tcW w:w="713" w:type="dxa"/>
                  <w:vAlign w:val="center"/>
                </w:tcPr>
                <w:p w14:paraId="7731E5F3"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5.31%</w:t>
                  </w:r>
                </w:p>
              </w:tc>
              <w:tc>
                <w:tcPr>
                  <w:tcW w:w="857" w:type="dxa"/>
                  <w:vAlign w:val="center"/>
                </w:tcPr>
                <w:p w14:paraId="504F9BDB"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2.29%</w:t>
                  </w:r>
                </w:p>
              </w:tc>
            </w:tr>
            <w:tr w:rsidR="00825411" w:rsidRPr="00D70A30" w14:paraId="46E76559" w14:textId="77777777">
              <w:trPr>
                <w:trHeight w:val="38"/>
              </w:trPr>
              <w:tc>
                <w:tcPr>
                  <w:tcW w:w="534" w:type="dxa"/>
                  <w:shd w:val="clear" w:color="auto" w:fill="D9D9D9" w:themeFill="background1" w:themeFillShade="D9"/>
                  <w:vAlign w:val="center"/>
                </w:tcPr>
                <w:p w14:paraId="394480E7"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2017</w:t>
                  </w:r>
                </w:p>
              </w:tc>
              <w:tc>
                <w:tcPr>
                  <w:tcW w:w="767" w:type="dxa"/>
                  <w:vAlign w:val="center"/>
                </w:tcPr>
                <w:p w14:paraId="1411EE05"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-0.31%</w:t>
                  </w:r>
                </w:p>
              </w:tc>
              <w:tc>
                <w:tcPr>
                  <w:tcW w:w="660" w:type="dxa"/>
                  <w:vAlign w:val="center"/>
                </w:tcPr>
                <w:p w14:paraId="0EE4EFF7"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2.65%</w:t>
                  </w:r>
                </w:p>
              </w:tc>
              <w:tc>
                <w:tcPr>
                  <w:tcW w:w="640" w:type="dxa"/>
                  <w:vAlign w:val="center"/>
                </w:tcPr>
                <w:p w14:paraId="7FD68868"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2.99%</w:t>
                  </w:r>
                </w:p>
              </w:tc>
              <w:tc>
                <w:tcPr>
                  <w:tcW w:w="650" w:type="dxa"/>
                  <w:vAlign w:val="center"/>
                </w:tcPr>
                <w:p w14:paraId="643BE807"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0.94%</w:t>
                  </w:r>
                </w:p>
              </w:tc>
              <w:tc>
                <w:tcPr>
                  <w:tcW w:w="650" w:type="dxa"/>
                  <w:vAlign w:val="center"/>
                </w:tcPr>
                <w:p w14:paraId="69414442"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1.65%</w:t>
                  </w:r>
                </w:p>
              </w:tc>
              <w:tc>
                <w:tcPr>
                  <w:tcW w:w="650" w:type="dxa"/>
                  <w:vAlign w:val="center"/>
                </w:tcPr>
                <w:p w14:paraId="07E49184"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-2.27%</w:t>
                  </w:r>
                </w:p>
              </w:tc>
              <w:tc>
                <w:tcPr>
                  <w:tcW w:w="650" w:type="dxa"/>
                  <w:vAlign w:val="center"/>
                </w:tcPr>
                <w:p w14:paraId="66AF19E4"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-1.10%</w:t>
                  </w:r>
                </w:p>
              </w:tc>
              <w:tc>
                <w:tcPr>
                  <w:tcW w:w="650" w:type="dxa"/>
                  <w:vAlign w:val="center"/>
                </w:tcPr>
                <w:p w14:paraId="66812EB8"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0.06%</w:t>
                  </w:r>
                </w:p>
              </w:tc>
              <w:tc>
                <w:tcPr>
                  <w:tcW w:w="650" w:type="dxa"/>
                  <w:vAlign w:val="center"/>
                </w:tcPr>
                <w:p w14:paraId="04EA4275"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1.39%</w:t>
                  </w:r>
                </w:p>
              </w:tc>
              <w:tc>
                <w:tcPr>
                  <w:tcW w:w="650" w:type="dxa"/>
                  <w:vAlign w:val="center"/>
                </w:tcPr>
                <w:p w14:paraId="2A042E6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2.23%</w:t>
                  </w:r>
                </w:p>
              </w:tc>
              <w:tc>
                <w:tcPr>
                  <w:tcW w:w="801" w:type="dxa"/>
                  <w:vAlign w:val="center"/>
                </w:tcPr>
                <w:p w14:paraId="7D755CE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0.23%</w:t>
                  </w:r>
                </w:p>
              </w:tc>
              <w:tc>
                <w:tcPr>
                  <w:tcW w:w="713" w:type="dxa"/>
                  <w:vAlign w:val="center"/>
                </w:tcPr>
                <w:p w14:paraId="1A7A76FE"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-0.56%</w:t>
                  </w:r>
                </w:p>
              </w:tc>
              <w:tc>
                <w:tcPr>
                  <w:tcW w:w="857" w:type="dxa"/>
                  <w:vAlign w:val="center"/>
                </w:tcPr>
                <w:p w14:paraId="6733BD05"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8.03%</w:t>
                  </w:r>
                </w:p>
              </w:tc>
            </w:tr>
            <w:tr w:rsidR="00825411" w:rsidRPr="00D70A30" w14:paraId="3A5E451F" w14:textId="77777777">
              <w:trPr>
                <w:trHeight w:val="38"/>
              </w:trPr>
              <w:tc>
                <w:tcPr>
                  <w:tcW w:w="534" w:type="dxa"/>
                  <w:shd w:val="clear" w:color="auto" w:fill="D9D9D9" w:themeFill="background1" w:themeFillShade="D9"/>
                  <w:vAlign w:val="center"/>
                </w:tcPr>
                <w:p w14:paraId="3627DCD3"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2018</w:t>
                  </w:r>
                </w:p>
              </w:tc>
              <w:tc>
                <w:tcPr>
                  <w:tcW w:w="767" w:type="dxa"/>
                  <w:vAlign w:val="center"/>
                </w:tcPr>
                <w:p w14:paraId="324F6E29"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0.53%</w:t>
                  </w:r>
                </w:p>
              </w:tc>
              <w:tc>
                <w:tcPr>
                  <w:tcW w:w="660" w:type="dxa"/>
                  <w:vAlign w:val="center"/>
                </w:tcPr>
                <w:p w14:paraId="2C41D6C4"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-2.94%</w:t>
                  </w:r>
                </w:p>
              </w:tc>
              <w:tc>
                <w:tcPr>
                  <w:tcW w:w="640" w:type="dxa"/>
                  <w:vAlign w:val="center"/>
                </w:tcPr>
                <w:p w14:paraId="74D8D5B2"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-1.78%</w:t>
                  </w:r>
                </w:p>
              </w:tc>
              <w:tc>
                <w:tcPr>
                  <w:tcW w:w="650" w:type="dxa"/>
                  <w:vAlign w:val="center"/>
                </w:tcPr>
                <w:p w14:paraId="3D8B0C38"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3.40%</w:t>
                  </w:r>
                </w:p>
              </w:tc>
              <w:tc>
                <w:tcPr>
                  <w:tcW w:w="650" w:type="dxa"/>
                  <w:vAlign w:val="center"/>
                </w:tcPr>
                <w:p w14:paraId="1A60923E"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-0.54%</w:t>
                  </w:r>
                </w:p>
              </w:tc>
              <w:tc>
                <w:tcPr>
                  <w:tcW w:w="650" w:type="dxa"/>
                  <w:vAlign w:val="center"/>
                </w:tcPr>
                <w:p w14:paraId="05D71C75"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-0.22%</w:t>
                  </w:r>
                </w:p>
              </w:tc>
              <w:tc>
                <w:tcPr>
                  <w:tcW w:w="650" w:type="dxa"/>
                  <w:vAlign w:val="center"/>
                </w:tcPr>
                <w:p w14:paraId="286B765E"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4.12%</w:t>
                  </w:r>
                </w:p>
              </w:tc>
              <w:tc>
                <w:tcPr>
                  <w:tcW w:w="650" w:type="dxa"/>
                  <w:vAlign w:val="center"/>
                </w:tcPr>
                <w:p w14:paraId="3DA8C106"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0.10%</w:t>
                  </w:r>
                </w:p>
              </w:tc>
              <w:tc>
                <w:tcPr>
                  <w:tcW w:w="650" w:type="dxa"/>
                  <w:vAlign w:val="center"/>
                </w:tcPr>
                <w:p w14:paraId="0E01EAF5"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0.30%</w:t>
                  </w:r>
                </w:p>
              </w:tc>
              <w:tc>
                <w:tcPr>
                  <w:tcW w:w="650" w:type="dxa"/>
                  <w:vAlign w:val="center"/>
                </w:tcPr>
                <w:p w14:paraId="7A9F826E"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-6.18%</w:t>
                  </w:r>
                </w:p>
              </w:tc>
              <w:tc>
                <w:tcPr>
                  <w:tcW w:w="801" w:type="dxa"/>
                  <w:vAlign w:val="center"/>
                </w:tcPr>
                <w:p w14:paraId="545BB676"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-0.31%</w:t>
                  </w:r>
                </w:p>
              </w:tc>
              <w:tc>
                <w:tcPr>
                  <w:tcW w:w="713" w:type="dxa"/>
                  <w:vAlign w:val="center"/>
                </w:tcPr>
                <w:p w14:paraId="5D73BA7C"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-8.12%</w:t>
                  </w:r>
                </w:p>
              </w:tc>
              <w:tc>
                <w:tcPr>
                  <w:tcW w:w="857" w:type="dxa"/>
                  <w:vAlign w:val="center"/>
                </w:tcPr>
                <w:p w14:paraId="3BC61D49"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-12.91%</w:t>
                  </w:r>
                </w:p>
              </w:tc>
            </w:tr>
            <w:tr w:rsidR="00825411" w:rsidRPr="00D70A30" w14:paraId="59FBA48C" w14:textId="77777777">
              <w:trPr>
                <w:trHeight w:val="38"/>
              </w:trPr>
              <w:tc>
                <w:tcPr>
                  <w:tcW w:w="534" w:type="dxa"/>
                  <w:shd w:val="clear" w:color="auto" w:fill="D9D9D9" w:themeFill="background1" w:themeFillShade="D9"/>
                  <w:vAlign w:val="center"/>
                </w:tcPr>
                <w:p w14:paraId="4D8E9AAA"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2019</w:t>
                  </w:r>
                </w:p>
              </w:tc>
              <w:tc>
                <w:tcPr>
                  <w:tcW w:w="767" w:type="dxa"/>
                  <w:vAlign w:val="center"/>
                </w:tcPr>
                <w:p w14:paraId="72D054E1"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6.88%</w:t>
                  </w:r>
                </w:p>
              </w:tc>
              <w:tc>
                <w:tcPr>
                  <w:tcW w:w="660" w:type="dxa"/>
                  <w:vAlign w:val="center"/>
                </w:tcPr>
                <w:p w14:paraId="3D5535DF"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5.52%</w:t>
                  </w:r>
                </w:p>
              </w:tc>
              <w:tc>
                <w:tcPr>
                  <w:tcW w:w="640" w:type="dxa"/>
                  <w:vAlign w:val="center"/>
                </w:tcPr>
                <w:p w14:paraId="090088D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2.43%</w:t>
                  </w:r>
                </w:p>
              </w:tc>
              <w:tc>
                <w:tcPr>
                  <w:tcW w:w="650" w:type="dxa"/>
                  <w:vAlign w:val="center"/>
                </w:tcPr>
                <w:p w14:paraId="748EC8B1"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2.52%</w:t>
                  </w:r>
                </w:p>
              </w:tc>
              <w:tc>
                <w:tcPr>
                  <w:tcW w:w="650" w:type="dxa"/>
                  <w:vAlign w:val="center"/>
                </w:tcPr>
                <w:p w14:paraId="24B622AB"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-3.48%</w:t>
                  </w:r>
                </w:p>
              </w:tc>
              <w:tc>
                <w:tcPr>
                  <w:tcW w:w="650" w:type="dxa"/>
                  <w:vAlign w:val="center"/>
                </w:tcPr>
                <w:p w14:paraId="7A5CB10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2.06%</w:t>
                  </w:r>
                </w:p>
              </w:tc>
              <w:tc>
                <w:tcPr>
                  <w:tcW w:w="650" w:type="dxa"/>
                  <w:vAlign w:val="center"/>
                </w:tcPr>
                <w:p w14:paraId="5100D24E"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0.51%</w:t>
                  </w:r>
                </w:p>
              </w:tc>
              <w:tc>
                <w:tcPr>
                  <w:tcW w:w="650" w:type="dxa"/>
                  <w:vAlign w:val="center"/>
                </w:tcPr>
                <w:p w14:paraId="2790D5F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0.41%</w:t>
                  </w:r>
                </w:p>
              </w:tc>
              <w:tc>
                <w:tcPr>
                  <w:tcW w:w="650" w:type="dxa"/>
                  <w:vAlign w:val="center"/>
                </w:tcPr>
                <w:p w14:paraId="7A6D90E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1.15%</w:t>
                  </w:r>
                </w:p>
              </w:tc>
              <w:tc>
                <w:tcPr>
                  <w:tcW w:w="650" w:type="dxa"/>
                  <w:vAlign w:val="center"/>
                </w:tcPr>
                <w:p w14:paraId="585D4A95"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-0.27%</w:t>
                  </w:r>
                </w:p>
              </w:tc>
              <w:tc>
                <w:tcPr>
                  <w:tcW w:w="801" w:type="dxa"/>
                  <w:vAlign w:val="center"/>
                </w:tcPr>
                <w:p w14:paraId="0E030D6C"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0.67%</w:t>
                  </w:r>
                </w:p>
              </w:tc>
              <w:tc>
                <w:tcPr>
                  <w:tcW w:w="713" w:type="dxa"/>
                  <w:vAlign w:val="center"/>
                </w:tcPr>
                <w:p w14:paraId="2626B32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0.22%</w:t>
                  </w:r>
                </w:p>
              </w:tc>
              <w:tc>
                <w:tcPr>
                  <w:tcW w:w="857" w:type="dxa"/>
                  <w:vAlign w:val="center"/>
                </w:tcPr>
                <w:p w14:paraId="35B41E50"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19.79%</w:t>
                  </w:r>
                </w:p>
              </w:tc>
            </w:tr>
            <w:tr w:rsidR="00825411" w:rsidRPr="00D70A30" w14:paraId="23444BE7" w14:textId="77777777">
              <w:trPr>
                <w:trHeight w:val="38"/>
              </w:trPr>
              <w:tc>
                <w:tcPr>
                  <w:tcW w:w="534" w:type="dxa"/>
                  <w:shd w:val="clear" w:color="auto" w:fill="D9D9D9" w:themeFill="background1" w:themeFillShade="D9"/>
                  <w:vAlign w:val="center"/>
                </w:tcPr>
                <w:p w14:paraId="25E4859F"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2020</w:t>
                  </w:r>
                </w:p>
              </w:tc>
              <w:tc>
                <w:tcPr>
                  <w:tcW w:w="767" w:type="dxa"/>
                  <w:vAlign w:val="center"/>
                </w:tcPr>
                <w:p w14:paraId="4AE6FAC7"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-0.33%</w:t>
                  </w:r>
                </w:p>
              </w:tc>
              <w:tc>
                <w:tcPr>
                  <w:tcW w:w="660" w:type="dxa"/>
                  <w:vAlign w:val="center"/>
                </w:tcPr>
                <w:p w14:paraId="1A2F9237"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-8.12%</w:t>
                  </w:r>
                </w:p>
              </w:tc>
              <w:tc>
                <w:tcPr>
                  <w:tcW w:w="640" w:type="dxa"/>
                  <w:vAlign w:val="center"/>
                </w:tcPr>
                <w:p w14:paraId="2E090D5E"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-10.0%</w:t>
                  </w:r>
                </w:p>
              </w:tc>
              <w:tc>
                <w:tcPr>
                  <w:tcW w:w="650" w:type="dxa"/>
                  <w:vAlign w:val="center"/>
                </w:tcPr>
                <w:p w14:paraId="2C528A45"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4.75%</w:t>
                  </w:r>
                </w:p>
              </w:tc>
              <w:tc>
                <w:tcPr>
                  <w:tcW w:w="650" w:type="dxa"/>
                  <w:vAlign w:val="center"/>
                </w:tcPr>
                <w:p w14:paraId="758F389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3.00%</w:t>
                  </w:r>
                </w:p>
              </w:tc>
              <w:tc>
                <w:tcPr>
                  <w:tcW w:w="650" w:type="dxa"/>
                  <w:vAlign w:val="center"/>
                </w:tcPr>
                <w:p w14:paraId="127B6D59"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4.63%</w:t>
                  </w:r>
                </w:p>
              </w:tc>
              <w:tc>
                <w:tcPr>
                  <w:tcW w:w="650" w:type="dxa"/>
                  <w:vAlign w:val="center"/>
                </w:tcPr>
                <w:p w14:paraId="241EBD7C"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-1.07%</w:t>
                  </w:r>
                </w:p>
              </w:tc>
              <w:tc>
                <w:tcPr>
                  <w:tcW w:w="650" w:type="dxa"/>
                  <w:vAlign w:val="center"/>
                </w:tcPr>
                <w:p w14:paraId="4A5802D5"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5.55%</w:t>
                  </w:r>
                </w:p>
              </w:tc>
              <w:tc>
                <w:tcPr>
                  <w:tcW w:w="650" w:type="dxa"/>
                  <w:vAlign w:val="center"/>
                </w:tcPr>
                <w:p w14:paraId="2D71757B"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-1.78%</w:t>
                  </w:r>
                </w:p>
              </w:tc>
              <w:tc>
                <w:tcPr>
                  <w:tcW w:w="650" w:type="dxa"/>
                  <w:vAlign w:val="center"/>
                </w:tcPr>
                <w:p w14:paraId="74B4A9D3"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-6.40%</w:t>
                  </w:r>
                </w:p>
              </w:tc>
              <w:tc>
                <w:tcPr>
                  <w:tcW w:w="801" w:type="dxa"/>
                  <w:vAlign w:val="center"/>
                </w:tcPr>
                <w:p w14:paraId="51E4020E"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13.6%</w:t>
                  </w:r>
                </w:p>
              </w:tc>
              <w:tc>
                <w:tcPr>
                  <w:tcW w:w="713" w:type="dxa"/>
                  <w:vAlign w:val="center"/>
                </w:tcPr>
                <w:p w14:paraId="332FBD69"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0.98%</w:t>
                  </w:r>
                </w:p>
              </w:tc>
              <w:tc>
                <w:tcPr>
                  <w:tcW w:w="857" w:type="dxa"/>
                  <w:vAlign w:val="center"/>
                </w:tcPr>
                <w:p w14:paraId="49823551"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2.39%</w:t>
                  </w:r>
                </w:p>
              </w:tc>
            </w:tr>
            <w:tr w:rsidR="00825411" w:rsidRPr="00D70A30" w14:paraId="4BF4E8C2" w14:textId="77777777">
              <w:trPr>
                <w:trHeight w:val="38"/>
              </w:trPr>
              <w:tc>
                <w:tcPr>
                  <w:tcW w:w="534" w:type="dxa"/>
                  <w:shd w:val="clear" w:color="auto" w:fill="D9D9D9" w:themeFill="background1" w:themeFillShade="D9"/>
                  <w:vAlign w:val="center"/>
                </w:tcPr>
                <w:p w14:paraId="0E20B0D7"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2021</w:t>
                  </w:r>
                </w:p>
              </w:tc>
              <w:tc>
                <w:tcPr>
                  <w:tcW w:w="767" w:type="dxa"/>
                  <w:vAlign w:val="center"/>
                </w:tcPr>
                <w:p w14:paraId="172CEC5E"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0.91%</w:t>
                  </w:r>
                </w:p>
              </w:tc>
              <w:tc>
                <w:tcPr>
                  <w:tcW w:w="660" w:type="dxa"/>
                  <w:vAlign w:val="center"/>
                </w:tcPr>
                <w:p w14:paraId="317497D5"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1.54%</w:t>
                  </w:r>
                </w:p>
              </w:tc>
              <w:tc>
                <w:tcPr>
                  <w:tcW w:w="640" w:type="dxa"/>
                  <w:vAlign w:val="center"/>
                </w:tcPr>
                <w:p w14:paraId="60F19D5E"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5.44%</w:t>
                  </w:r>
                </w:p>
              </w:tc>
              <w:tc>
                <w:tcPr>
                  <w:tcW w:w="650" w:type="dxa"/>
                  <w:vAlign w:val="center"/>
                </w:tcPr>
                <w:p w14:paraId="302F1AEE"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0.54%</w:t>
                  </w:r>
                </w:p>
              </w:tc>
              <w:tc>
                <w:tcPr>
                  <w:tcW w:w="650" w:type="dxa"/>
                  <w:vAlign w:val="center"/>
                </w:tcPr>
                <w:p w14:paraId="1A28F900"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1.97%</w:t>
                  </w:r>
                </w:p>
              </w:tc>
              <w:tc>
                <w:tcPr>
                  <w:tcW w:w="650" w:type="dxa"/>
                  <w:vAlign w:val="center"/>
                </w:tcPr>
                <w:p w14:paraId="30E534FD"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3.16%</w:t>
                  </w:r>
                </w:p>
              </w:tc>
              <w:tc>
                <w:tcPr>
                  <w:tcW w:w="650" w:type="dxa"/>
                  <w:vAlign w:val="center"/>
                </w:tcPr>
                <w:p w14:paraId="642EAC65"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0.00%</w:t>
                  </w:r>
                </w:p>
              </w:tc>
              <w:tc>
                <w:tcPr>
                  <w:tcW w:w="650" w:type="dxa"/>
                  <w:vAlign w:val="center"/>
                </w:tcPr>
                <w:p w14:paraId="6D987A67"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1.81%</w:t>
                  </w:r>
                </w:p>
              </w:tc>
              <w:tc>
                <w:tcPr>
                  <w:tcW w:w="650" w:type="dxa"/>
                  <w:vAlign w:val="center"/>
                </w:tcPr>
                <w:p w14:paraId="0D9CA7D9"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-3.01%</w:t>
                  </w:r>
                </w:p>
              </w:tc>
              <w:tc>
                <w:tcPr>
                  <w:tcW w:w="650" w:type="dxa"/>
                  <w:vAlign w:val="center"/>
                </w:tcPr>
                <w:p w14:paraId="4DDFEEFF"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5.86%</w:t>
                  </w:r>
                </w:p>
              </w:tc>
              <w:tc>
                <w:tcPr>
                  <w:tcW w:w="801" w:type="dxa"/>
                  <w:vAlign w:val="center"/>
                </w:tcPr>
                <w:p w14:paraId="22E08B33"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-0.54%</w:t>
                  </w:r>
                </w:p>
              </w:tc>
              <w:tc>
                <w:tcPr>
                  <w:tcW w:w="713" w:type="dxa"/>
                  <w:vAlign w:val="center"/>
                </w:tcPr>
                <w:p w14:paraId="1B48DFD9"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+3.16%</w:t>
                  </w:r>
                </w:p>
              </w:tc>
              <w:tc>
                <w:tcPr>
                  <w:tcW w:w="857" w:type="dxa"/>
                  <w:vAlign w:val="center"/>
                </w:tcPr>
                <w:p w14:paraId="55C043C6"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22.54%</w:t>
                  </w:r>
                </w:p>
              </w:tc>
            </w:tr>
            <w:tr w:rsidR="00825411" w:rsidRPr="00D70A30" w14:paraId="371BEE13" w14:textId="77777777">
              <w:trPr>
                <w:trHeight w:val="38"/>
              </w:trPr>
              <w:tc>
                <w:tcPr>
                  <w:tcW w:w="534" w:type="dxa"/>
                  <w:shd w:val="clear" w:color="auto" w:fill="D9D9D9" w:themeFill="background1" w:themeFillShade="D9"/>
                  <w:vAlign w:val="center"/>
                </w:tcPr>
                <w:p w14:paraId="0D922E8D"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2022</w:t>
                  </w:r>
                </w:p>
              </w:tc>
              <w:tc>
                <w:tcPr>
                  <w:tcW w:w="767" w:type="dxa"/>
                  <w:vAlign w:val="center"/>
                </w:tcPr>
                <w:p w14:paraId="3C10830E"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-2.59%</w:t>
                  </w:r>
                </w:p>
              </w:tc>
              <w:tc>
                <w:tcPr>
                  <w:tcW w:w="660" w:type="dxa"/>
                  <w:vAlign w:val="center"/>
                </w:tcPr>
                <w:p w14:paraId="608093E4"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-6.62%</w:t>
                  </w:r>
                </w:p>
              </w:tc>
              <w:tc>
                <w:tcPr>
                  <w:tcW w:w="640" w:type="dxa"/>
                  <w:vAlign w:val="center"/>
                </w:tcPr>
                <w:p w14:paraId="3FB66992"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-0.23%</w:t>
                  </w:r>
                </w:p>
              </w:tc>
              <w:tc>
                <w:tcPr>
                  <w:tcW w:w="650" w:type="dxa"/>
                  <w:vAlign w:val="center"/>
                </w:tcPr>
                <w:p w14:paraId="53FCD46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0.0%</w:t>
                  </w:r>
                </w:p>
              </w:tc>
              <w:tc>
                <w:tcPr>
                  <w:tcW w:w="650" w:type="dxa"/>
                  <w:vAlign w:val="center"/>
                </w:tcPr>
                <w:p w14:paraId="256DC033"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-2.74%</w:t>
                  </w:r>
                </w:p>
              </w:tc>
              <w:tc>
                <w:tcPr>
                  <w:tcW w:w="650" w:type="dxa"/>
                  <w:vAlign w:val="center"/>
                </w:tcPr>
                <w:p w14:paraId="7E732842"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-5.63%</w:t>
                  </w:r>
                </w:p>
              </w:tc>
              <w:tc>
                <w:tcPr>
                  <w:tcW w:w="650" w:type="dxa"/>
                  <w:vAlign w:val="center"/>
                </w:tcPr>
                <w:p w14:paraId="22DC73F9"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5.96%</w:t>
                  </w:r>
                </w:p>
              </w:tc>
              <w:tc>
                <w:tcPr>
                  <w:tcW w:w="650" w:type="dxa"/>
                  <w:vAlign w:val="center"/>
                </w:tcPr>
                <w:p w14:paraId="7E59E501"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-3.64%</w:t>
                  </w:r>
                </w:p>
              </w:tc>
              <w:tc>
                <w:tcPr>
                  <w:tcW w:w="650" w:type="dxa"/>
                  <w:vAlign w:val="center"/>
                </w:tcPr>
                <w:p w14:paraId="59B3577D"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-5.71%</w:t>
                  </w:r>
                </w:p>
              </w:tc>
              <w:tc>
                <w:tcPr>
                  <w:tcW w:w="650" w:type="dxa"/>
                  <w:vAlign w:val="center"/>
                </w:tcPr>
                <w:p w14:paraId="503047A0"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5.80%</w:t>
                  </w:r>
                </w:p>
              </w:tc>
              <w:tc>
                <w:tcPr>
                  <w:tcW w:w="801" w:type="dxa"/>
                  <w:vAlign w:val="center"/>
                </w:tcPr>
                <w:p w14:paraId="6738B092"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4.61%</w:t>
                  </w:r>
                </w:p>
              </w:tc>
              <w:tc>
                <w:tcPr>
                  <w:tcW w:w="713" w:type="dxa"/>
                  <w:vAlign w:val="center"/>
                </w:tcPr>
                <w:p w14:paraId="04DABD04"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-3.81%</w:t>
                  </w:r>
                </w:p>
              </w:tc>
              <w:tc>
                <w:tcPr>
                  <w:tcW w:w="857" w:type="dxa"/>
                  <w:vAlign w:val="center"/>
                </w:tcPr>
                <w:p w14:paraId="5691EC1D"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-14.59%</w:t>
                  </w:r>
                </w:p>
              </w:tc>
            </w:tr>
            <w:tr w:rsidR="00825411" w:rsidRPr="00D70A30" w14:paraId="79B251D9" w14:textId="77777777">
              <w:trPr>
                <w:trHeight w:val="193"/>
              </w:trPr>
              <w:tc>
                <w:tcPr>
                  <w:tcW w:w="534" w:type="dxa"/>
                  <w:shd w:val="clear" w:color="auto" w:fill="D9D9D9" w:themeFill="background1" w:themeFillShade="D9"/>
                  <w:vAlign w:val="center"/>
                </w:tcPr>
                <w:p w14:paraId="45892B10" w14:textId="77777777" w:rsidR="00825411" w:rsidRPr="00D70A30" w:rsidRDefault="00825411">
                  <w:pPr>
                    <w:pStyle w:val="Heading1"/>
                    <w:spacing w:before="0"/>
                    <w:jc w:val="center"/>
                    <w:rPr>
                      <w:rFonts w:asciiTheme="minorHAnsi" w:hAnsiTheme="minorHAnsi"/>
                      <w:color w:val="auto"/>
                      <w:sz w:val="13"/>
                      <w:szCs w:val="13"/>
                      <w:lang w:val="en-US"/>
                    </w:rPr>
                  </w:pPr>
                  <w:r w:rsidRPr="00D70A30">
                    <w:rPr>
                      <w:rFonts w:asciiTheme="minorHAnsi" w:hAnsiTheme="minorHAnsi"/>
                      <w:color w:val="auto"/>
                      <w:sz w:val="13"/>
                      <w:szCs w:val="13"/>
                      <w:lang w:val="en-US"/>
                    </w:rPr>
                    <w:t>2023</w:t>
                  </w:r>
                </w:p>
              </w:tc>
              <w:tc>
                <w:tcPr>
                  <w:tcW w:w="767" w:type="dxa"/>
                  <w:vAlign w:val="center"/>
                </w:tcPr>
                <w:p w14:paraId="3A45EEB0"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3.84%</w:t>
                  </w:r>
                </w:p>
              </w:tc>
              <w:tc>
                <w:tcPr>
                  <w:tcW w:w="660" w:type="dxa"/>
                  <w:vAlign w:val="center"/>
                </w:tcPr>
                <w:p w14:paraId="27E2A2AA"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1.31%</w:t>
                  </w:r>
                </w:p>
              </w:tc>
              <w:tc>
                <w:tcPr>
                  <w:tcW w:w="640" w:type="dxa"/>
                  <w:vAlign w:val="center"/>
                </w:tcPr>
                <w:p w14:paraId="3C872D99"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1.94%</w:t>
                  </w:r>
                </w:p>
              </w:tc>
              <w:tc>
                <w:tcPr>
                  <w:tcW w:w="650" w:type="dxa"/>
                  <w:vAlign w:val="center"/>
                </w:tcPr>
                <w:p w14:paraId="28ED1841"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3.87%</w:t>
                  </w:r>
                </w:p>
              </w:tc>
              <w:tc>
                <w:tcPr>
                  <w:tcW w:w="650" w:type="dxa"/>
                  <w:vAlign w:val="center"/>
                </w:tcPr>
                <w:p w14:paraId="2AC84F01"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-2.50%</w:t>
                  </w:r>
                </w:p>
              </w:tc>
              <w:tc>
                <w:tcPr>
                  <w:tcW w:w="650" w:type="dxa"/>
                  <w:vAlign w:val="center"/>
                </w:tcPr>
                <w:p w14:paraId="618BA796"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1.60%</w:t>
                  </w:r>
                </w:p>
              </w:tc>
              <w:tc>
                <w:tcPr>
                  <w:tcW w:w="650" w:type="dxa"/>
                  <w:vAlign w:val="center"/>
                </w:tcPr>
                <w:p w14:paraId="45A9179C"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1.68%</w:t>
                  </w:r>
                </w:p>
              </w:tc>
              <w:tc>
                <w:tcPr>
                  <w:tcW w:w="650" w:type="dxa"/>
                  <w:vAlign w:val="center"/>
                </w:tcPr>
                <w:p w14:paraId="02FB87A7"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-1.54%</w:t>
                  </w:r>
                </w:p>
              </w:tc>
              <w:tc>
                <w:tcPr>
                  <w:tcW w:w="650" w:type="dxa"/>
                  <w:vAlign w:val="center"/>
                </w:tcPr>
                <w:p w14:paraId="068FCC31"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-3.25%</w:t>
                  </w:r>
                </w:p>
              </w:tc>
              <w:tc>
                <w:tcPr>
                  <w:tcW w:w="650" w:type="dxa"/>
                  <w:vAlign w:val="center"/>
                </w:tcPr>
                <w:p w14:paraId="559921F5"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-0.75%</w:t>
                  </w:r>
                </w:p>
              </w:tc>
              <w:tc>
                <w:tcPr>
                  <w:tcW w:w="801" w:type="dxa"/>
                  <w:vAlign w:val="center"/>
                </w:tcPr>
                <w:p w14:paraId="6EB8A0A3" w14:textId="77777777" w:rsidR="00825411" w:rsidRPr="00D70A30" w:rsidRDefault="00825411">
                  <w:pPr>
                    <w:pStyle w:val="Heading1"/>
                    <w:spacing w:before="0"/>
                    <w:jc w:val="center"/>
                    <w:rPr>
                      <w:rFonts w:asciiTheme="minorHAnsi" w:hAnsiTheme="minorHAnsi"/>
                      <w:b w:val="0"/>
                      <w:color w:val="auto"/>
                      <w:sz w:val="13"/>
                      <w:szCs w:val="13"/>
                      <w:lang w:val="en-US"/>
                    </w:rPr>
                  </w:pPr>
                  <w:r w:rsidRPr="00D70A30">
                    <w:rPr>
                      <w:rFonts w:asciiTheme="minorHAnsi" w:hAnsiTheme="minorHAnsi"/>
                      <w:b w:val="0"/>
                      <w:color w:val="auto"/>
                      <w:sz w:val="13"/>
                      <w:szCs w:val="13"/>
                      <w:lang w:val="en-US"/>
                    </w:rPr>
                    <w:t>3.79%</w:t>
                  </w:r>
                </w:p>
              </w:tc>
              <w:tc>
                <w:tcPr>
                  <w:tcW w:w="713" w:type="dxa"/>
                  <w:vAlign w:val="center"/>
                </w:tcPr>
                <w:p w14:paraId="3BF78CAB" w14:textId="0E53A847" w:rsidR="00825411" w:rsidRPr="00D70A30" w:rsidRDefault="00394C4C">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1.85%</w:t>
                  </w:r>
                </w:p>
              </w:tc>
              <w:tc>
                <w:tcPr>
                  <w:tcW w:w="857" w:type="dxa"/>
                  <w:vAlign w:val="center"/>
                </w:tcPr>
                <w:p w14:paraId="22DC54EA" w14:textId="13E89F0F" w:rsidR="00825411" w:rsidRPr="00D70A30" w:rsidRDefault="00825411">
                  <w:pPr>
                    <w:pStyle w:val="Heading1"/>
                    <w:spacing w:before="0"/>
                    <w:jc w:val="center"/>
                    <w:rPr>
                      <w:rFonts w:asciiTheme="minorHAnsi" w:hAnsiTheme="minorHAnsi"/>
                      <w:color w:val="auto"/>
                      <w:sz w:val="13"/>
                      <w:szCs w:val="13"/>
                      <w:lang w:val="en-US"/>
                    </w:rPr>
                  </w:pPr>
                  <w:r>
                    <w:rPr>
                      <w:rFonts w:asciiTheme="minorHAnsi" w:hAnsiTheme="minorHAnsi"/>
                      <w:color w:val="auto"/>
                      <w:sz w:val="13"/>
                      <w:szCs w:val="13"/>
                      <w:lang w:val="en-US"/>
                    </w:rPr>
                    <w:t>1</w:t>
                  </w:r>
                  <w:r w:rsidR="00394C4C">
                    <w:rPr>
                      <w:rFonts w:asciiTheme="minorHAnsi" w:hAnsiTheme="minorHAnsi"/>
                      <w:color w:val="auto"/>
                      <w:sz w:val="13"/>
                      <w:szCs w:val="13"/>
                      <w:lang w:val="en-US"/>
                    </w:rPr>
                    <w:t>2.13%</w:t>
                  </w:r>
                </w:p>
              </w:tc>
            </w:tr>
            <w:tr w:rsidR="00BF2FBD" w:rsidRPr="00D70A30" w14:paraId="0BB86C5B" w14:textId="77777777">
              <w:trPr>
                <w:trHeight w:val="193"/>
              </w:trPr>
              <w:tc>
                <w:tcPr>
                  <w:tcW w:w="534" w:type="dxa"/>
                  <w:shd w:val="clear" w:color="auto" w:fill="D9D9D9" w:themeFill="background1" w:themeFillShade="D9"/>
                  <w:vAlign w:val="center"/>
                </w:tcPr>
                <w:p w14:paraId="5C27C8A9" w14:textId="10B2D90E" w:rsidR="00BF2FBD" w:rsidRPr="00D70A30" w:rsidRDefault="00BF2FBD">
                  <w:pPr>
                    <w:pStyle w:val="Heading1"/>
                    <w:spacing w:before="0"/>
                    <w:jc w:val="center"/>
                    <w:rPr>
                      <w:rFonts w:asciiTheme="minorHAnsi" w:hAnsiTheme="minorHAnsi"/>
                      <w:color w:val="auto"/>
                      <w:sz w:val="13"/>
                      <w:szCs w:val="13"/>
                      <w:lang w:val="en-US"/>
                    </w:rPr>
                  </w:pPr>
                  <w:r>
                    <w:rPr>
                      <w:rFonts w:asciiTheme="minorHAnsi" w:hAnsiTheme="minorHAnsi"/>
                      <w:color w:val="auto"/>
                      <w:sz w:val="13"/>
                      <w:szCs w:val="13"/>
                      <w:lang w:val="en-US"/>
                    </w:rPr>
                    <w:t>2024</w:t>
                  </w:r>
                </w:p>
              </w:tc>
              <w:tc>
                <w:tcPr>
                  <w:tcW w:w="767" w:type="dxa"/>
                  <w:vAlign w:val="center"/>
                </w:tcPr>
                <w:p w14:paraId="7D49E3C4" w14:textId="2E4BA542" w:rsidR="00BF2FBD" w:rsidRPr="00D70A30" w:rsidRDefault="00BF2FBD">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1.32%</w:t>
                  </w:r>
                </w:p>
              </w:tc>
              <w:tc>
                <w:tcPr>
                  <w:tcW w:w="660" w:type="dxa"/>
                  <w:vAlign w:val="center"/>
                </w:tcPr>
                <w:p w14:paraId="16B3D762" w14:textId="5FCE7C5B" w:rsidR="00BF2FBD" w:rsidRPr="00D70A30" w:rsidRDefault="00FC6E0C">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3.15%</w:t>
                  </w:r>
                </w:p>
              </w:tc>
              <w:tc>
                <w:tcPr>
                  <w:tcW w:w="640" w:type="dxa"/>
                  <w:vAlign w:val="center"/>
                </w:tcPr>
                <w:p w14:paraId="0C5A83C6" w14:textId="5E7E3C8D" w:rsidR="00BF2FBD" w:rsidRPr="00D70A30" w:rsidRDefault="006857CD">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2.13%</w:t>
                  </w:r>
                </w:p>
              </w:tc>
              <w:tc>
                <w:tcPr>
                  <w:tcW w:w="650" w:type="dxa"/>
                  <w:vAlign w:val="center"/>
                </w:tcPr>
                <w:p w14:paraId="077E0D1D" w14:textId="029D470B" w:rsidR="00BF2FBD" w:rsidRPr="00D70A30" w:rsidRDefault="006F2FDD">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-1.23%</w:t>
                  </w:r>
                </w:p>
              </w:tc>
              <w:tc>
                <w:tcPr>
                  <w:tcW w:w="650" w:type="dxa"/>
                  <w:vAlign w:val="center"/>
                </w:tcPr>
                <w:p w14:paraId="09C9BE45" w14:textId="140910B3" w:rsidR="00BF2FBD" w:rsidRPr="00D70A30" w:rsidRDefault="001142C3">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1.38%</w:t>
                  </w:r>
                </w:p>
              </w:tc>
              <w:tc>
                <w:tcPr>
                  <w:tcW w:w="650" w:type="dxa"/>
                  <w:vAlign w:val="center"/>
                </w:tcPr>
                <w:p w14:paraId="1B952167" w14:textId="50B12572" w:rsidR="00BF2FBD" w:rsidRPr="00D70A30" w:rsidRDefault="00E06C99">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1.58%</w:t>
                  </w:r>
                </w:p>
              </w:tc>
              <w:tc>
                <w:tcPr>
                  <w:tcW w:w="650" w:type="dxa"/>
                  <w:vAlign w:val="center"/>
                </w:tcPr>
                <w:p w14:paraId="432F3912" w14:textId="5130DAFF" w:rsidR="00BF2FBD" w:rsidRPr="00D70A30" w:rsidRDefault="00182A34">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-0.45%</w:t>
                  </w:r>
                </w:p>
              </w:tc>
              <w:tc>
                <w:tcPr>
                  <w:tcW w:w="650" w:type="dxa"/>
                  <w:vAlign w:val="center"/>
                </w:tcPr>
                <w:p w14:paraId="05AD3A6A" w14:textId="1EE560CF" w:rsidR="00BF2FBD" w:rsidRPr="00D70A30" w:rsidRDefault="009347F6">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1.04%</w:t>
                  </w:r>
                </w:p>
              </w:tc>
              <w:tc>
                <w:tcPr>
                  <w:tcW w:w="650" w:type="dxa"/>
                  <w:vAlign w:val="center"/>
                </w:tcPr>
                <w:p w14:paraId="61A6A3F0" w14:textId="44B4268C" w:rsidR="00BF2FBD" w:rsidRPr="00D70A30" w:rsidRDefault="00C3341B">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-0.53%</w:t>
                  </w:r>
                </w:p>
              </w:tc>
              <w:tc>
                <w:tcPr>
                  <w:tcW w:w="650" w:type="dxa"/>
                  <w:vAlign w:val="center"/>
                </w:tcPr>
                <w:p w14:paraId="50EC0734" w14:textId="6BB24F26" w:rsidR="00BF2FBD" w:rsidRPr="00D70A30" w:rsidRDefault="00B41D61">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-1.08%</w:t>
                  </w:r>
                </w:p>
              </w:tc>
              <w:tc>
                <w:tcPr>
                  <w:tcW w:w="801" w:type="dxa"/>
                  <w:vAlign w:val="center"/>
                </w:tcPr>
                <w:p w14:paraId="09DD27A4" w14:textId="12C8713A" w:rsidR="00BF2FBD" w:rsidRPr="00D70A30" w:rsidRDefault="00DA188E">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1.22%</w:t>
                  </w:r>
                </w:p>
              </w:tc>
              <w:tc>
                <w:tcPr>
                  <w:tcW w:w="713" w:type="dxa"/>
                  <w:vAlign w:val="center"/>
                </w:tcPr>
                <w:p w14:paraId="04467894" w14:textId="2755649B" w:rsidR="00BF2FBD" w:rsidRDefault="00FF0411">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-2.01</w:t>
                  </w:r>
                </w:p>
              </w:tc>
              <w:tc>
                <w:tcPr>
                  <w:tcW w:w="857" w:type="dxa"/>
                  <w:vAlign w:val="center"/>
                </w:tcPr>
                <w:p w14:paraId="1E8C6982" w14:textId="090C0FEA" w:rsidR="00BF2FBD" w:rsidRDefault="00FF0411" w:rsidP="00FC6E0C">
                  <w:pPr>
                    <w:pStyle w:val="Heading1"/>
                    <w:spacing w:before="0"/>
                    <w:jc w:val="center"/>
                    <w:rPr>
                      <w:rFonts w:asciiTheme="minorHAnsi" w:hAnsiTheme="minorHAnsi"/>
                      <w:color w:val="auto"/>
                      <w:sz w:val="13"/>
                      <w:szCs w:val="13"/>
                      <w:lang w:val="en-US"/>
                    </w:rPr>
                  </w:pPr>
                  <w:r>
                    <w:rPr>
                      <w:rFonts w:asciiTheme="minorHAnsi" w:hAnsiTheme="minorHAnsi"/>
                      <w:color w:val="auto"/>
                      <w:sz w:val="13"/>
                      <w:szCs w:val="13"/>
                      <w:lang w:val="en-US"/>
                    </w:rPr>
                    <w:t>6.58</w:t>
                  </w:r>
                  <w:r w:rsidR="00DA188E">
                    <w:rPr>
                      <w:rFonts w:asciiTheme="minorHAnsi" w:hAnsiTheme="minorHAnsi"/>
                      <w:color w:val="auto"/>
                      <w:sz w:val="13"/>
                      <w:szCs w:val="13"/>
                      <w:lang w:val="en-US"/>
                    </w:rPr>
                    <w:t>%</w:t>
                  </w:r>
                </w:p>
              </w:tc>
            </w:tr>
            <w:tr w:rsidR="00814793" w:rsidRPr="00D70A30" w14:paraId="1BB83234" w14:textId="77777777">
              <w:trPr>
                <w:trHeight w:val="193"/>
              </w:trPr>
              <w:tc>
                <w:tcPr>
                  <w:tcW w:w="534" w:type="dxa"/>
                  <w:shd w:val="clear" w:color="auto" w:fill="D9D9D9" w:themeFill="background1" w:themeFillShade="D9"/>
                  <w:vAlign w:val="center"/>
                </w:tcPr>
                <w:p w14:paraId="3D810F72" w14:textId="67C28C2E" w:rsidR="00814793" w:rsidRDefault="00814793">
                  <w:pPr>
                    <w:pStyle w:val="Heading1"/>
                    <w:spacing w:before="0"/>
                    <w:jc w:val="center"/>
                    <w:rPr>
                      <w:rFonts w:asciiTheme="minorHAnsi" w:hAnsiTheme="minorHAnsi"/>
                      <w:color w:val="auto"/>
                      <w:sz w:val="13"/>
                      <w:szCs w:val="13"/>
                      <w:lang w:val="en-US"/>
                    </w:rPr>
                  </w:pPr>
                  <w:r>
                    <w:rPr>
                      <w:rFonts w:asciiTheme="minorHAnsi" w:hAnsiTheme="minorHAnsi"/>
                      <w:color w:val="auto"/>
                      <w:sz w:val="13"/>
                      <w:szCs w:val="13"/>
                      <w:lang w:val="en-US"/>
                    </w:rPr>
                    <w:t>2025</w:t>
                  </w:r>
                </w:p>
              </w:tc>
              <w:tc>
                <w:tcPr>
                  <w:tcW w:w="767" w:type="dxa"/>
                  <w:vAlign w:val="center"/>
                </w:tcPr>
                <w:p w14:paraId="1B3A56DE" w14:textId="4FD934E6" w:rsidR="00814793" w:rsidRDefault="00814793">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5.39%</w:t>
                  </w:r>
                </w:p>
              </w:tc>
              <w:tc>
                <w:tcPr>
                  <w:tcW w:w="660" w:type="dxa"/>
                  <w:vAlign w:val="center"/>
                </w:tcPr>
                <w:p w14:paraId="28233CF2" w14:textId="039A7601" w:rsidR="00814793" w:rsidRDefault="00445A3D">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1</w:t>
                  </w:r>
                  <w:r w:rsidR="0073323C">
                    <w:rPr>
                      <w:rFonts w:asciiTheme="minorHAnsi" w:hAnsiTheme="minorHAnsi"/>
                      <w:b w:val="0"/>
                      <w:color w:val="auto"/>
                      <w:sz w:val="13"/>
                      <w:szCs w:val="13"/>
                      <w:lang w:val="en-US"/>
                    </w:rPr>
                    <w:t>.</w:t>
                  </w:r>
                  <w:r>
                    <w:rPr>
                      <w:rFonts w:asciiTheme="minorHAnsi" w:hAnsiTheme="minorHAnsi"/>
                      <w:b w:val="0"/>
                      <w:color w:val="auto"/>
                      <w:sz w:val="13"/>
                      <w:szCs w:val="13"/>
                      <w:lang w:val="en-US"/>
                    </w:rPr>
                    <w:t>98%</w:t>
                  </w:r>
                </w:p>
              </w:tc>
              <w:tc>
                <w:tcPr>
                  <w:tcW w:w="640" w:type="dxa"/>
                  <w:vAlign w:val="center"/>
                </w:tcPr>
                <w:p w14:paraId="6AE5CF87" w14:textId="1DF4A6DD" w:rsidR="00814793" w:rsidRDefault="00880679">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-5.58%</w:t>
                  </w:r>
                </w:p>
              </w:tc>
              <w:tc>
                <w:tcPr>
                  <w:tcW w:w="650" w:type="dxa"/>
                  <w:vAlign w:val="center"/>
                </w:tcPr>
                <w:p w14:paraId="0D57500D" w14:textId="6E080668" w:rsidR="00814793" w:rsidRDefault="0095277D">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-1.84%</w:t>
                  </w:r>
                </w:p>
              </w:tc>
              <w:tc>
                <w:tcPr>
                  <w:tcW w:w="650" w:type="dxa"/>
                  <w:vAlign w:val="center"/>
                </w:tcPr>
                <w:p w14:paraId="69A6CCAD" w14:textId="6BFB522A" w:rsidR="00814793" w:rsidRDefault="00860B74">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3.56%</w:t>
                  </w:r>
                </w:p>
              </w:tc>
              <w:tc>
                <w:tcPr>
                  <w:tcW w:w="650" w:type="dxa"/>
                  <w:vAlign w:val="center"/>
                </w:tcPr>
                <w:p w14:paraId="3F06ED67" w14:textId="21496171" w:rsidR="00814793" w:rsidRDefault="00FA75B1">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-0.97%</w:t>
                  </w:r>
                </w:p>
              </w:tc>
              <w:tc>
                <w:tcPr>
                  <w:tcW w:w="650" w:type="dxa"/>
                  <w:vAlign w:val="center"/>
                </w:tcPr>
                <w:p w14:paraId="07CE591F" w14:textId="7E0CA06A" w:rsidR="00814793" w:rsidRDefault="0022613C">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-1.25%</w:t>
                  </w:r>
                </w:p>
              </w:tc>
              <w:tc>
                <w:tcPr>
                  <w:tcW w:w="650" w:type="dxa"/>
                  <w:vAlign w:val="center"/>
                </w:tcPr>
                <w:p w14:paraId="123D9F6E" w14:textId="1D36B5DC" w:rsidR="00814793" w:rsidRDefault="00341611">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-0.94%</w:t>
                  </w:r>
                </w:p>
              </w:tc>
              <w:tc>
                <w:tcPr>
                  <w:tcW w:w="650" w:type="dxa"/>
                  <w:vAlign w:val="center"/>
                </w:tcPr>
                <w:p w14:paraId="6119F608" w14:textId="072AA9F9" w:rsidR="00814793" w:rsidRDefault="00505BE4">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3.08%</w:t>
                  </w:r>
                </w:p>
              </w:tc>
              <w:tc>
                <w:tcPr>
                  <w:tcW w:w="650" w:type="dxa"/>
                  <w:vAlign w:val="center"/>
                </w:tcPr>
                <w:p w14:paraId="3C007E27" w14:textId="75653B33" w:rsidR="00814793" w:rsidRDefault="001026FF">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1.20%</w:t>
                  </w:r>
                </w:p>
              </w:tc>
              <w:tc>
                <w:tcPr>
                  <w:tcW w:w="801" w:type="dxa"/>
                  <w:vAlign w:val="center"/>
                </w:tcPr>
                <w:p w14:paraId="79F4718F" w14:textId="22B2F175" w:rsidR="00814793" w:rsidRDefault="0047296C">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-2.30%</w:t>
                  </w:r>
                </w:p>
              </w:tc>
              <w:tc>
                <w:tcPr>
                  <w:tcW w:w="713" w:type="dxa"/>
                  <w:vAlign w:val="center"/>
                </w:tcPr>
                <w:p w14:paraId="31B58186" w14:textId="36ABBB97" w:rsidR="00814793" w:rsidRDefault="00237938">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0.18%</w:t>
                  </w:r>
                </w:p>
              </w:tc>
              <w:tc>
                <w:tcPr>
                  <w:tcW w:w="857" w:type="dxa"/>
                  <w:vAlign w:val="center"/>
                </w:tcPr>
                <w:p w14:paraId="1B36ADDA" w14:textId="352FA2F7" w:rsidR="00814793" w:rsidRDefault="00237938" w:rsidP="00FC6E0C">
                  <w:pPr>
                    <w:pStyle w:val="Heading1"/>
                    <w:spacing w:before="0"/>
                    <w:jc w:val="center"/>
                    <w:rPr>
                      <w:rFonts w:asciiTheme="minorHAnsi" w:hAnsiTheme="minorHAnsi"/>
                      <w:color w:val="auto"/>
                      <w:sz w:val="13"/>
                      <w:szCs w:val="13"/>
                      <w:lang w:val="en-US"/>
                    </w:rPr>
                  </w:pPr>
                  <w:r>
                    <w:rPr>
                      <w:rFonts w:asciiTheme="minorHAnsi" w:hAnsiTheme="minorHAnsi"/>
                      <w:color w:val="auto"/>
                      <w:sz w:val="13"/>
                      <w:szCs w:val="13"/>
                      <w:lang w:val="en-US"/>
                    </w:rPr>
                    <w:t>2.02%</w:t>
                  </w:r>
                  <w:r w:rsidR="00445A3D">
                    <w:rPr>
                      <w:rFonts w:asciiTheme="minorHAnsi" w:hAnsiTheme="minorHAnsi"/>
                      <w:color w:val="auto"/>
                      <w:sz w:val="13"/>
                      <w:szCs w:val="13"/>
                      <w:lang w:val="en-US"/>
                    </w:rPr>
                    <w:t>%</w:t>
                  </w:r>
                </w:p>
              </w:tc>
            </w:tr>
            <w:tr w:rsidR="00161A5A" w:rsidRPr="00D70A30" w14:paraId="1657D531" w14:textId="77777777">
              <w:trPr>
                <w:trHeight w:val="193"/>
              </w:trPr>
              <w:tc>
                <w:tcPr>
                  <w:tcW w:w="534" w:type="dxa"/>
                  <w:shd w:val="clear" w:color="auto" w:fill="D9D9D9" w:themeFill="background1" w:themeFillShade="D9"/>
                  <w:vAlign w:val="center"/>
                </w:tcPr>
                <w:p w14:paraId="032FCE22" w14:textId="35DB2618" w:rsidR="00161A5A" w:rsidRDefault="00161A5A">
                  <w:pPr>
                    <w:pStyle w:val="Heading1"/>
                    <w:spacing w:before="0"/>
                    <w:jc w:val="center"/>
                    <w:rPr>
                      <w:rFonts w:asciiTheme="minorHAnsi" w:hAnsiTheme="minorHAnsi"/>
                      <w:color w:val="auto"/>
                      <w:sz w:val="13"/>
                      <w:szCs w:val="13"/>
                      <w:lang w:val="en-US"/>
                    </w:rPr>
                  </w:pPr>
                  <w:r>
                    <w:rPr>
                      <w:rFonts w:asciiTheme="minorHAnsi" w:hAnsiTheme="minorHAnsi"/>
                      <w:color w:val="auto"/>
                      <w:sz w:val="13"/>
                      <w:szCs w:val="13"/>
                      <w:lang w:val="en-US"/>
                    </w:rPr>
                    <w:t>2026</w:t>
                  </w:r>
                </w:p>
              </w:tc>
              <w:tc>
                <w:tcPr>
                  <w:tcW w:w="767" w:type="dxa"/>
                  <w:vAlign w:val="center"/>
                </w:tcPr>
                <w:p w14:paraId="5C03B0A9" w14:textId="41E422F9" w:rsidR="00161A5A" w:rsidRDefault="00161A5A">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2.24%</w:t>
                  </w:r>
                </w:p>
              </w:tc>
              <w:tc>
                <w:tcPr>
                  <w:tcW w:w="660" w:type="dxa"/>
                  <w:vAlign w:val="center"/>
                </w:tcPr>
                <w:p w14:paraId="149D3A16" w14:textId="6A3F3EE0" w:rsidR="00161A5A" w:rsidRDefault="000236D4">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5.09%</w:t>
                  </w:r>
                </w:p>
              </w:tc>
              <w:tc>
                <w:tcPr>
                  <w:tcW w:w="640" w:type="dxa"/>
                  <w:vAlign w:val="center"/>
                </w:tcPr>
                <w:p w14:paraId="6ECA1DAE" w14:textId="4ED246D2" w:rsidR="00161A5A" w:rsidRDefault="00E511AB">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-6.86%</w:t>
                  </w:r>
                </w:p>
              </w:tc>
              <w:tc>
                <w:tcPr>
                  <w:tcW w:w="650" w:type="dxa"/>
                  <w:vAlign w:val="center"/>
                </w:tcPr>
                <w:p w14:paraId="5AE1852F" w14:textId="47C8A98F" w:rsidR="00161A5A" w:rsidRDefault="00D10A98">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6.11%</w:t>
                  </w:r>
                </w:p>
              </w:tc>
              <w:tc>
                <w:tcPr>
                  <w:tcW w:w="650" w:type="dxa"/>
                  <w:vAlign w:val="center"/>
                </w:tcPr>
                <w:p w14:paraId="18BF4859" w14:textId="0E5D47AD" w:rsidR="00161A5A" w:rsidRDefault="001777FA">
                  <w:pPr>
                    <w:pStyle w:val="Heading1"/>
                    <w:spacing w:before="0"/>
                    <w:jc w:val="center"/>
                    <w:rPr>
                      <w:rFonts w:asciiTheme="minorHAnsi" w:hAnsiTheme="minorHAnsi"/>
                      <w:b w:val="0"/>
                      <w:color w:val="auto"/>
                      <w:sz w:val="13"/>
                      <w:szCs w:val="13"/>
                      <w:lang w:val="en-US"/>
                    </w:rPr>
                  </w:pPr>
                  <w:r>
                    <w:rPr>
                      <w:rFonts w:asciiTheme="minorHAnsi" w:hAnsiTheme="minorHAnsi"/>
                      <w:b w:val="0"/>
                      <w:color w:val="auto"/>
                      <w:sz w:val="13"/>
                      <w:szCs w:val="13"/>
                      <w:lang w:val="en-US"/>
                    </w:rPr>
                    <w:t>5.20%</w:t>
                  </w:r>
                </w:p>
              </w:tc>
              <w:tc>
                <w:tcPr>
                  <w:tcW w:w="650" w:type="dxa"/>
                  <w:vAlign w:val="center"/>
                </w:tcPr>
                <w:p w14:paraId="7D4743DD" w14:textId="77777777" w:rsidR="00161A5A" w:rsidRDefault="00161A5A">
                  <w:pPr>
                    <w:pStyle w:val="Heading1"/>
                    <w:spacing w:before="0"/>
                    <w:jc w:val="center"/>
                    <w:rPr>
                      <w:rFonts w:asciiTheme="minorHAnsi" w:hAnsiTheme="minorHAnsi"/>
                      <w:b w:val="0"/>
                      <w:color w:val="auto"/>
                      <w:sz w:val="13"/>
                      <w:szCs w:val="13"/>
                      <w:lang w:val="en-US"/>
                    </w:rPr>
                  </w:pPr>
                </w:p>
              </w:tc>
              <w:tc>
                <w:tcPr>
                  <w:tcW w:w="650" w:type="dxa"/>
                  <w:vAlign w:val="center"/>
                </w:tcPr>
                <w:p w14:paraId="320364B4" w14:textId="77777777" w:rsidR="00161A5A" w:rsidRDefault="00161A5A">
                  <w:pPr>
                    <w:pStyle w:val="Heading1"/>
                    <w:spacing w:before="0"/>
                    <w:jc w:val="center"/>
                    <w:rPr>
                      <w:rFonts w:asciiTheme="minorHAnsi" w:hAnsiTheme="minorHAnsi"/>
                      <w:b w:val="0"/>
                      <w:color w:val="auto"/>
                      <w:sz w:val="13"/>
                      <w:szCs w:val="13"/>
                      <w:lang w:val="en-US"/>
                    </w:rPr>
                  </w:pPr>
                </w:p>
              </w:tc>
              <w:tc>
                <w:tcPr>
                  <w:tcW w:w="650" w:type="dxa"/>
                  <w:vAlign w:val="center"/>
                </w:tcPr>
                <w:p w14:paraId="473B2B20" w14:textId="77777777" w:rsidR="00161A5A" w:rsidRDefault="00161A5A">
                  <w:pPr>
                    <w:pStyle w:val="Heading1"/>
                    <w:spacing w:before="0"/>
                    <w:jc w:val="center"/>
                    <w:rPr>
                      <w:rFonts w:asciiTheme="minorHAnsi" w:hAnsiTheme="minorHAnsi"/>
                      <w:b w:val="0"/>
                      <w:color w:val="auto"/>
                      <w:sz w:val="13"/>
                      <w:szCs w:val="13"/>
                      <w:lang w:val="en-US"/>
                    </w:rPr>
                  </w:pPr>
                </w:p>
              </w:tc>
              <w:tc>
                <w:tcPr>
                  <w:tcW w:w="650" w:type="dxa"/>
                  <w:vAlign w:val="center"/>
                </w:tcPr>
                <w:p w14:paraId="43F24D61" w14:textId="77777777" w:rsidR="00161A5A" w:rsidRDefault="00161A5A">
                  <w:pPr>
                    <w:pStyle w:val="Heading1"/>
                    <w:spacing w:before="0"/>
                    <w:jc w:val="center"/>
                    <w:rPr>
                      <w:rFonts w:asciiTheme="minorHAnsi" w:hAnsiTheme="minorHAnsi"/>
                      <w:b w:val="0"/>
                      <w:color w:val="auto"/>
                      <w:sz w:val="13"/>
                      <w:szCs w:val="13"/>
                      <w:lang w:val="en-US"/>
                    </w:rPr>
                  </w:pPr>
                </w:p>
              </w:tc>
              <w:tc>
                <w:tcPr>
                  <w:tcW w:w="650" w:type="dxa"/>
                  <w:vAlign w:val="center"/>
                </w:tcPr>
                <w:p w14:paraId="418F6B83" w14:textId="77777777" w:rsidR="00161A5A" w:rsidRDefault="00161A5A">
                  <w:pPr>
                    <w:pStyle w:val="Heading1"/>
                    <w:spacing w:before="0"/>
                    <w:jc w:val="center"/>
                    <w:rPr>
                      <w:rFonts w:asciiTheme="minorHAnsi" w:hAnsiTheme="minorHAnsi"/>
                      <w:b w:val="0"/>
                      <w:color w:val="auto"/>
                      <w:sz w:val="13"/>
                      <w:szCs w:val="13"/>
                      <w:lang w:val="en-US"/>
                    </w:rPr>
                  </w:pPr>
                </w:p>
              </w:tc>
              <w:tc>
                <w:tcPr>
                  <w:tcW w:w="801" w:type="dxa"/>
                  <w:vAlign w:val="center"/>
                </w:tcPr>
                <w:p w14:paraId="361C624C" w14:textId="77777777" w:rsidR="00161A5A" w:rsidRDefault="00161A5A">
                  <w:pPr>
                    <w:pStyle w:val="Heading1"/>
                    <w:spacing w:before="0"/>
                    <w:jc w:val="center"/>
                    <w:rPr>
                      <w:rFonts w:asciiTheme="minorHAnsi" w:hAnsiTheme="minorHAnsi"/>
                      <w:b w:val="0"/>
                      <w:color w:val="auto"/>
                      <w:sz w:val="13"/>
                      <w:szCs w:val="13"/>
                      <w:lang w:val="en-US"/>
                    </w:rPr>
                  </w:pPr>
                </w:p>
              </w:tc>
              <w:tc>
                <w:tcPr>
                  <w:tcW w:w="713" w:type="dxa"/>
                  <w:vAlign w:val="center"/>
                </w:tcPr>
                <w:p w14:paraId="79F3D20D" w14:textId="77777777" w:rsidR="00161A5A" w:rsidRDefault="00161A5A">
                  <w:pPr>
                    <w:pStyle w:val="Heading1"/>
                    <w:spacing w:before="0"/>
                    <w:jc w:val="center"/>
                    <w:rPr>
                      <w:rFonts w:asciiTheme="minorHAnsi" w:hAnsiTheme="minorHAnsi"/>
                      <w:b w:val="0"/>
                      <w:color w:val="auto"/>
                      <w:sz w:val="13"/>
                      <w:szCs w:val="13"/>
                      <w:lang w:val="en-US"/>
                    </w:rPr>
                  </w:pPr>
                </w:p>
              </w:tc>
              <w:tc>
                <w:tcPr>
                  <w:tcW w:w="857" w:type="dxa"/>
                  <w:vAlign w:val="center"/>
                </w:tcPr>
                <w:p w14:paraId="19CE31C3" w14:textId="21699C79" w:rsidR="00161A5A" w:rsidRDefault="001777FA" w:rsidP="00FC6E0C">
                  <w:pPr>
                    <w:pStyle w:val="Heading1"/>
                    <w:spacing w:before="0"/>
                    <w:jc w:val="center"/>
                    <w:rPr>
                      <w:rFonts w:asciiTheme="minorHAnsi" w:hAnsiTheme="minorHAnsi"/>
                      <w:color w:val="auto"/>
                      <w:sz w:val="13"/>
                      <w:szCs w:val="13"/>
                      <w:lang w:val="en-US"/>
                    </w:rPr>
                  </w:pPr>
                  <w:r>
                    <w:rPr>
                      <w:rFonts w:asciiTheme="minorHAnsi" w:hAnsiTheme="minorHAnsi"/>
                      <w:color w:val="auto"/>
                      <w:sz w:val="13"/>
                      <w:szCs w:val="13"/>
                      <w:lang w:val="en-US"/>
                    </w:rPr>
                    <w:t>11.70%</w:t>
                  </w:r>
                </w:p>
              </w:tc>
            </w:tr>
          </w:tbl>
          <w:p w14:paraId="48FADE8E" w14:textId="5E2AC12A" w:rsidR="00825411" w:rsidRPr="003B297B" w:rsidRDefault="00825411" w:rsidP="00C4745C">
            <w:pPr>
              <w:pStyle w:val="Heading1"/>
              <w:spacing w:before="0"/>
              <w:rPr>
                <w:rFonts w:asciiTheme="minorHAnsi" w:hAnsiTheme="minorHAnsi"/>
                <w:color w:val="C00000"/>
                <w:sz w:val="24"/>
                <w:lang w:val="en-GB"/>
              </w:rPr>
            </w:pPr>
            <w:r w:rsidRPr="00394C4C">
              <w:rPr>
                <w:rFonts w:asciiTheme="minorHAnsi" w:hAnsiTheme="minorHAnsi"/>
                <w:color w:val="C00000"/>
                <w:sz w:val="24"/>
                <w:lang w:val="en-US"/>
              </w:rPr>
              <w:t>Figures &amp; Ratios</w:t>
            </w:r>
          </w:p>
        </w:tc>
        <w:tc>
          <w:tcPr>
            <w:tcW w:w="10317" w:type="dxa"/>
          </w:tcPr>
          <w:p w14:paraId="5B38B6A4" w14:textId="77777777" w:rsidR="00825411" w:rsidRPr="001B1F78" w:rsidRDefault="00825411">
            <w:pPr>
              <w:pStyle w:val="Heading1"/>
              <w:spacing w:before="0"/>
              <w:jc w:val="center"/>
              <w:rPr>
                <w:rFonts w:asciiTheme="minorHAnsi" w:hAnsiTheme="minorHAnsi"/>
                <w:color w:val="auto"/>
                <w:sz w:val="15"/>
                <w:szCs w:val="15"/>
                <w:lang w:val="en-US"/>
              </w:rPr>
            </w:pPr>
          </w:p>
        </w:tc>
      </w:tr>
    </w:tbl>
    <w:tbl>
      <w:tblPr>
        <w:tblStyle w:val="TableGrid"/>
        <w:tblpPr w:leftFromText="180" w:rightFromText="180" w:vertAnchor="text" w:horzAnchor="margin" w:tblpY="1"/>
        <w:tblW w:w="5152" w:type="pct"/>
        <w:tblLayout w:type="fixed"/>
        <w:tblCellMar>
          <w:left w:w="70" w:type="dxa"/>
          <w:right w:w="70" w:type="dxa"/>
        </w:tblCellMar>
        <w:tblLook w:val="04A0" w:firstRow="1" w:lastRow="0" w:firstColumn="1" w:lastColumn="0" w:noHBand="0" w:noVBand="1"/>
      </w:tblPr>
      <w:tblGrid>
        <w:gridCol w:w="9485"/>
      </w:tblGrid>
      <w:tr w:rsidR="00825411" w14:paraId="014F8709" w14:textId="77777777" w:rsidTr="001572CF">
        <w:trPr>
          <w:trHeight w:val="2259"/>
        </w:trPr>
        <w:tc>
          <w:tcPr>
            <w:tcW w:w="9681" w:type="dxa"/>
            <w:tcBorders>
              <w:top w:val="single" w:sz="4" w:space="0" w:color="C00000"/>
              <w:left w:val="single" w:sz="4" w:space="0" w:color="C00000"/>
              <w:bottom w:val="single" w:sz="4" w:space="0" w:color="C00000"/>
              <w:right w:val="single" w:sz="4" w:space="0" w:color="C00000"/>
            </w:tcBorders>
          </w:tcPr>
          <w:p w14:paraId="4E5AF2F2" w14:textId="15C95A95" w:rsidR="00825411" w:rsidRDefault="00601B20" w:rsidP="002C7468">
            <w:pPr>
              <w:jc w:val="center"/>
              <w:rPr>
                <w:iCs/>
                <w:sz w:val="14"/>
                <w:szCs w:val="14"/>
                <w:lang w:val="en-GB"/>
              </w:rPr>
            </w:pPr>
            <w:r w:rsidRPr="00601B20">
              <w:rPr>
                <w:iCs/>
                <w:noProof/>
                <w:sz w:val="14"/>
                <w:szCs w:val="14"/>
                <w:lang w:val="en-GB"/>
              </w:rPr>
              <w:drawing>
                <wp:inline distT="0" distB="0" distL="0" distR="0" wp14:anchorId="58864416" wp14:editId="72A096E2">
                  <wp:extent cx="5929630" cy="1705610"/>
                  <wp:effectExtent l="0" t="0" r="0" b="8890"/>
                  <wp:docPr id="17710639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9630" cy="1705610"/>
                          </a:xfrm>
                          <a:prstGeom prst="rect">
                            <a:avLst/>
                          </a:prstGeom>
                          <a:noFill/>
                          <a:ln>
                            <a:noFill/>
                          </a:ln>
                        </pic:spPr>
                      </pic:pic>
                    </a:graphicData>
                  </a:graphic>
                </wp:inline>
              </w:drawing>
            </w:r>
          </w:p>
          <w:p w14:paraId="12271B50" w14:textId="48C8D57B" w:rsidR="00825411" w:rsidRDefault="00601B20" w:rsidP="00C4745C">
            <w:pPr>
              <w:ind w:left="708" w:hanging="708"/>
              <w:jc w:val="center"/>
              <w:rPr>
                <w:noProof/>
                <w:lang w:val="en-US" w:eastAsia="de-CH"/>
              </w:rPr>
            </w:pPr>
            <w:r w:rsidRPr="00601B20">
              <w:rPr>
                <w:noProof/>
                <w:lang w:val="en-US" w:eastAsia="de-CH"/>
              </w:rPr>
              <w:drawing>
                <wp:inline distT="0" distB="0" distL="0" distR="0" wp14:anchorId="0DED36A9" wp14:editId="5CC5CF2B">
                  <wp:extent cx="2542722" cy="1934395"/>
                  <wp:effectExtent l="0" t="0" r="0" b="8890"/>
                  <wp:docPr id="15830926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1542" cy="1941105"/>
                          </a:xfrm>
                          <a:prstGeom prst="rect">
                            <a:avLst/>
                          </a:prstGeom>
                          <a:noFill/>
                          <a:ln>
                            <a:noFill/>
                          </a:ln>
                        </pic:spPr>
                      </pic:pic>
                    </a:graphicData>
                  </a:graphic>
                </wp:inline>
              </w:drawing>
            </w:r>
            <w:r w:rsidR="005B0F2F" w:rsidRPr="005B0F2F">
              <w:rPr>
                <w:noProof/>
                <w:lang w:val="en-US" w:eastAsia="de-CH"/>
              </w:rPr>
              <w:t xml:space="preserve"> </w:t>
            </w:r>
            <w:r w:rsidR="00CA4B1C">
              <w:rPr>
                <w:noProof/>
                <w14:ligatures w14:val="standardContextual"/>
              </w:rPr>
              <w:t xml:space="preserve"> </w:t>
            </w:r>
            <w:r w:rsidR="00117A9C">
              <w:rPr>
                <w:noProof/>
                <w14:ligatures w14:val="standardContextual"/>
              </w:rPr>
              <w:t xml:space="preserve"> </w:t>
            </w:r>
            <w:r w:rsidR="00117A9C">
              <w:rPr>
                <w:noProof/>
                <w14:ligatures w14:val="standardContextual"/>
              </w:rPr>
              <w:drawing>
                <wp:inline distT="0" distB="0" distL="0" distR="0" wp14:anchorId="56A5F34C" wp14:editId="33899D38">
                  <wp:extent cx="2819400" cy="2226404"/>
                  <wp:effectExtent l="0" t="0" r="0" b="2540"/>
                  <wp:docPr id="112631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26266" cy="2231826"/>
                          </a:xfrm>
                          <a:prstGeom prst="rect">
                            <a:avLst/>
                          </a:prstGeom>
                          <a:noFill/>
                        </pic:spPr>
                      </pic:pic>
                    </a:graphicData>
                  </a:graphic>
                </wp:inline>
              </w:drawing>
            </w:r>
          </w:p>
        </w:tc>
      </w:tr>
    </w:tbl>
    <w:tbl>
      <w:tblPr>
        <w:tblStyle w:val="TableGrid"/>
        <w:tblW w:w="5196"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F2F2F2" w:themeFill="background1" w:themeFillShade="F2"/>
        <w:tblLayout w:type="fixed"/>
        <w:tblLook w:val="04A0" w:firstRow="1" w:lastRow="0" w:firstColumn="1" w:lastColumn="0" w:noHBand="0" w:noVBand="1"/>
      </w:tblPr>
      <w:tblGrid>
        <w:gridCol w:w="5697"/>
        <w:gridCol w:w="3879"/>
      </w:tblGrid>
      <w:tr w:rsidR="00825411" w:rsidRPr="00835938" w14:paraId="4B1A40DE" w14:textId="77777777" w:rsidTr="00C4745C">
        <w:trPr>
          <w:trHeight w:val="317"/>
        </w:trPr>
        <w:tc>
          <w:tcPr>
            <w:tcW w:w="5816" w:type="dxa"/>
            <w:tcBorders>
              <w:top w:val="nil"/>
              <w:left w:val="nil"/>
              <w:bottom w:val="nil"/>
              <w:right w:val="nil"/>
            </w:tcBorders>
            <w:shd w:val="clear" w:color="auto" w:fill="F2F2F2" w:themeFill="background1" w:themeFillShade="F2"/>
          </w:tcPr>
          <w:p w14:paraId="7BDFEF4A" w14:textId="77777777" w:rsidR="00825411" w:rsidRDefault="00825411">
            <w:pPr>
              <w:spacing w:after="0"/>
              <w:rPr>
                <w:sz w:val="10"/>
                <w:lang w:val="en-US"/>
              </w:rPr>
            </w:pPr>
          </w:p>
          <w:p w14:paraId="6D57E18C" w14:textId="35821CA6" w:rsidR="00825411" w:rsidRPr="003D16EC" w:rsidRDefault="00825411">
            <w:pPr>
              <w:spacing w:after="0"/>
              <w:rPr>
                <w:b/>
                <w:color w:val="C00000"/>
                <w:sz w:val="24"/>
                <w:lang w:val="en-US"/>
              </w:rPr>
            </w:pPr>
            <w:r w:rsidRPr="00835938">
              <w:rPr>
                <w:b/>
                <w:color w:val="C00000"/>
                <w:sz w:val="24"/>
                <w:lang w:val="en-US"/>
              </w:rPr>
              <w:t>Certificate Terms</w:t>
            </w:r>
          </w:p>
          <w:p w14:paraId="5F74AB8C" w14:textId="77777777" w:rsidR="00825411" w:rsidRPr="00493A15" w:rsidRDefault="00825411">
            <w:pPr>
              <w:spacing w:after="0"/>
              <w:rPr>
                <w:sz w:val="18"/>
                <w:szCs w:val="18"/>
                <w:lang w:val="en-US"/>
              </w:rPr>
            </w:pPr>
            <w:r w:rsidRPr="00493A15">
              <w:rPr>
                <w:sz w:val="18"/>
                <w:szCs w:val="18"/>
                <w:lang w:val="en-US"/>
              </w:rPr>
              <w:t xml:space="preserve">Issuer: UBS AG </w:t>
            </w:r>
          </w:p>
          <w:p w14:paraId="19E60516" w14:textId="77777777" w:rsidR="00825411" w:rsidRPr="00493A15" w:rsidRDefault="00825411">
            <w:pPr>
              <w:spacing w:after="0"/>
              <w:rPr>
                <w:sz w:val="18"/>
                <w:szCs w:val="18"/>
                <w:lang w:val="en-US"/>
              </w:rPr>
            </w:pPr>
            <w:r w:rsidRPr="00493A15">
              <w:rPr>
                <w:sz w:val="18"/>
                <w:szCs w:val="18"/>
                <w:lang w:val="en-US"/>
              </w:rPr>
              <w:t>Advisor: Aspermont Capital AG</w:t>
            </w:r>
          </w:p>
          <w:p w14:paraId="285DCDB3" w14:textId="77777777" w:rsidR="00825411" w:rsidRPr="00493A15" w:rsidRDefault="00825411">
            <w:pPr>
              <w:spacing w:after="0"/>
              <w:rPr>
                <w:sz w:val="18"/>
                <w:szCs w:val="18"/>
                <w:lang w:val="en-US"/>
              </w:rPr>
            </w:pPr>
            <w:r w:rsidRPr="00493A15">
              <w:rPr>
                <w:sz w:val="18"/>
                <w:szCs w:val="18"/>
                <w:lang w:val="en-US"/>
              </w:rPr>
              <w:t>ISIN: CH0215884732</w:t>
            </w:r>
          </w:p>
          <w:p w14:paraId="31A9020D" w14:textId="77777777" w:rsidR="00825411" w:rsidRPr="00493A15" w:rsidRDefault="00825411">
            <w:pPr>
              <w:spacing w:after="0"/>
              <w:rPr>
                <w:sz w:val="18"/>
                <w:szCs w:val="18"/>
                <w:lang w:val="en-US"/>
              </w:rPr>
            </w:pPr>
            <w:r w:rsidRPr="00493A15">
              <w:rPr>
                <w:sz w:val="18"/>
                <w:szCs w:val="18"/>
                <w:lang w:val="en-US"/>
              </w:rPr>
              <w:t>Profile: Tracker-Certificate (SVSP-Code: 1300)</w:t>
            </w:r>
          </w:p>
          <w:p w14:paraId="3BC08523" w14:textId="77777777" w:rsidR="00825411" w:rsidRPr="00835938" w:rsidRDefault="00825411">
            <w:pPr>
              <w:spacing w:after="0"/>
              <w:rPr>
                <w:sz w:val="20"/>
                <w:lang w:val="en-US"/>
              </w:rPr>
            </w:pPr>
            <w:r w:rsidRPr="00493A15">
              <w:rPr>
                <w:sz w:val="18"/>
                <w:szCs w:val="18"/>
                <w:lang w:val="en-US"/>
              </w:rPr>
              <w:t>Launch date: June 2013</w:t>
            </w:r>
          </w:p>
        </w:tc>
        <w:tc>
          <w:tcPr>
            <w:tcW w:w="3959" w:type="dxa"/>
            <w:tcBorders>
              <w:top w:val="nil"/>
              <w:left w:val="nil"/>
              <w:bottom w:val="nil"/>
              <w:right w:val="nil"/>
            </w:tcBorders>
            <w:shd w:val="clear" w:color="auto" w:fill="F2F2F2" w:themeFill="background1" w:themeFillShade="F2"/>
          </w:tcPr>
          <w:p w14:paraId="63C07671" w14:textId="77777777" w:rsidR="00825411" w:rsidRPr="00835938" w:rsidRDefault="00825411">
            <w:pPr>
              <w:spacing w:after="0"/>
              <w:rPr>
                <w:sz w:val="10"/>
                <w:lang w:val="en-US"/>
              </w:rPr>
            </w:pPr>
          </w:p>
          <w:p w14:paraId="5416688F" w14:textId="77777777" w:rsidR="00825411" w:rsidRDefault="00825411">
            <w:pPr>
              <w:spacing w:after="0"/>
              <w:rPr>
                <w:sz w:val="18"/>
                <w:szCs w:val="18"/>
                <w:lang w:val="en-US"/>
              </w:rPr>
            </w:pPr>
          </w:p>
          <w:p w14:paraId="7AB61E3F" w14:textId="77777777" w:rsidR="00825411" w:rsidRPr="00493A15" w:rsidRDefault="00825411">
            <w:pPr>
              <w:spacing w:after="0"/>
              <w:rPr>
                <w:sz w:val="18"/>
                <w:szCs w:val="18"/>
                <w:lang w:val="en-US"/>
              </w:rPr>
            </w:pPr>
            <w:r w:rsidRPr="00493A15">
              <w:rPr>
                <w:sz w:val="18"/>
                <w:szCs w:val="18"/>
                <w:lang w:val="en-US"/>
              </w:rPr>
              <w:t>Currency: EUR</w:t>
            </w:r>
          </w:p>
          <w:p w14:paraId="37B35118" w14:textId="77777777" w:rsidR="00825411" w:rsidRPr="00493A15" w:rsidRDefault="00825411">
            <w:pPr>
              <w:spacing w:after="0"/>
              <w:rPr>
                <w:sz w:val="18"/>
                <w:szCs w:val="18"/>
                <w:lang w:val="en-US"/>
              </w:rPr>
            </w:pPr>
            <w:r w:rsidRPr="00493A15">
              <w:rPr>
                <w:sz w:val="18"/>
                <w:szCs w:val="18"/>
                <w:lang w:val="en-US"/>
              </w:rPr>
              <w:t>Denomination: EUR 100 per Unit</w:t>
            </w:r>
          </w:p>
          <w:p w14:paraId="47A10C8E" w14:textId="289389C6" w:rsidR="0032060D" w:rsidRPr="00493A15" w:rsidRDefault="00825411">
            <w:pPr>
              <w:spacing w:after="0"/>
              <w:rPr>
                <w:sz w:val="18"/>
                <w:szCs w:val="18"/>
                <w:lang w:val="en-US"/>
              </w:rPr>
            </w:pPr>
            <w:r w:rsidRPr="00493A15">
              <w:rPr>
                <w:sz w:val="18"/>
                <w:szCs w:val="18"/>
                <w:lang w:val="en-US"/>
              </w:rPr>
              <w:t>Maturity: June 12, 2018 (</w:t>
            </w:r>
            <w:r>
              <w:rPr>
                <w:sz w:val="18"/>
                <w:szCs w:val="18"/>
                <w:lang w:val="en-US"/>
              </w:rPr>
              <w:t>e</w:t>
            </w:r>
            <w:r w:rsidRPr="00493A15">
              <w:rPr>
                <w:sz w:val="18"/>
                <w:szCs w:val="18"/>
                <w:lang w:val="en-US"/>
              </w:rPr>
              <w:t>xtend</w:t>
            </w:r>
            <w:r>
              <w:rPr>
                <w:sz w:val="18"/>
                <w:szCs w:val="18"/>
                <w:lang w:val="en-US"/>
              </w:rPr>
              <w:t>ed to June 13, 2028</w:t>
            </w:r>
            <w:r w:rsidRPr="00493A15">
              <w:rPr>
                <w:sz w:val="18"/>
                <w:szCs w:val="18"/>
                <w:lang w:val="en-US"/>
              </w:rPr>
              <w:t>)</w:t>
            </w:r>
          </w:p>
          <w:p w14:paraId="701AB18C" w14:textId="77777777" w:rsidR="00825411" w:rsidRPr="00566A59" w:rsidRDefault="00825411">
            <w:pPr>
              <w:spacing w:after="0"/>
              <w:rPr>
                <w:color w:val="00B050"/>
                <w:sz w:val="18"/>
                <w:szCs w:val="18"/>
                <w:lang w:val="en-US"/>
              </w:rPr>
            </w:pPr>
            <w:r w:rsidRPr="00493A15">
              <w:rPr>
                <w:sz w:val="18"/>
                <w:szCs w:val="18"/>
                <w:lang w:val="en-US"/>
              </w:rPr>
              <w:t>Listing: SIX Swiss Exchange (SIX Structured)</w:t>
            </w:r>
          </w:p>
        </w:tc>
      </w:tr>
    </w:tbl>
    <w:p w14:paraId="1A22082F" w14:textId="76FB3195" w:rsidR="00401BD6" w:rsidRDefault="00401BD6" w:rsidP="008556CB"/>
    <w:sectPr w:rsidR="00401BD6" w:rsidSect="003A192C">
      <w:headerReference w:type="default" r:id="rId12"/>
      <w:footerReference w:type="default" r:id="rId13"/>
      <w:pgSz w:w="11906" w:h="16838" w:code="9"/>
      <w:pgMar w:top="1417" w:right="1274" w:bottom="1417" w:left="1417"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0AA23" w14:textId="77777777" w:rsidR="00C2775A" w:rsidRDefault="00C2775A">
      <w:pPr>
        <w:spacing w:after="0" w:line="240" w:lineRule="auto"/>
      </w:pPr>
      <w:r>
        <w:separator/>
      </w:r>
    </w:p>
  </w:endnote>
  <w:endnote w:type="continuationSeparator" w:id="0">
    <w:p w14:paraId="5A24DA77" w14:textId="77777777" w:rsidR="00C2775A" w:rsidRDefault="00C27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98906" w14:textId="77777777" w:rsidR="002F0246" w:rsidRPr="001A02FB" w:rsidRDefault="002F0246" w:rsidP="003A192C">
    <w:pPr>
      <w:spacing w:after="0"/>
      <w:jc w:val="both"/>
      <w:rPr>
        <w:b/>
        <w:bCs/>
        <w:sz w:val="10"/>
        <w:szCs w:val="10"/>
        <w:lang w:val="en-GB"/>
      </w:rPr>
    </w:pPr>
    <w:bookmarkStart w:id="1" w:name="_Hlk198802118"/>
    <w:bookmarkStart w:id="2" w:name="_Hlk198802107"/>
    <w:bookmarkStart w:id="3" w:name="_Hlk198802478"/>
    <w:bookmarkStart w:id="4" w:name="_Hlk198802479"/>
    <w:bookmarkStart w:id="5" w:name="_Hlk198804221"/>
    <w:bookmarkStart w:id="6" w:name="_Hlk198804222"/>
    <w:r w:rsidRPr="001A02FB">
      <w:rPr>
        <w:b/>
        <w:bCs/>
        <w:sz w:val="10"/>
        <w:szCs w:val="10"/>
        <w:lang w:val="en-GB"/>
      </w:rPr>
      <w:t>Disclaimer:</w:t>
    </w:r>
  </w:p>
  <w:bookmarkEnd w:id="1"/>
  <w:p w14:paraId="703A9474" w14:textId="77777777" w:rsidR="002F0246" w:rsidRPr="001A02FB" w:rsidRDefault="002F0246" w:rsidP="003A192C">
    <w:pPr>
      <w:spacing w:after="0"/>
      <w:jc w:val="both"/>
      <w:rPr>
        <w:sz w:val="10"/>
        <w:szCs w:val="10"/>
        <w:lang w:val="en-GB"/>
      </w:rPr>
    </w:pPr>
    <w:r w:rsidRPr="001A02FB">
      <w:rPr>
        <w:sz w:val="10"/>
        <w:szCs w:val="10"/>
        <w:lang w:val="en-GB"/>
      </w:rPr>
      <w:t xml:space="preserve">This document constitutes advertising within the meaning of article 68 of the </w:t>
    </w:r>
    <w:proofErr w:type="spellStart"/>
    <w:r w:rsidRPr="001A02FB">
      <w:rPr>
        <w:sz w:val="10"/>
        <w:szCs w:val="10"/>
        <w:lang w:val="en-GB"/>
      </w:rPr>
      <w:t>FinSA</w:t>
    </w:r>
    <w:proofErr w:type="spellEnd"/>
    <w:r w:rsidRPr="001A02FB">
      <w:rPr>
        <w:sz w:val="10"/>
        <w:szCs w:val="10"/>
        <w:lang w:val="en-GB"/>
      </w:rPr>
      <w:t xml:space="preserve"> and is intended for information only and for personal use. This document is intended only for professional respectively qualified investors and not for private investors.  </w:t>
    </w:r>
  </w:p>
  <w:p w14:paraId="125E07DA" w14:textId="77777777" w:rsidR="002F0246" w:rsidRPr="001A02FB" w:rsidRDefault="002F0246" w:rsidP="003A192C">
    <w:pPr>
      <w:spacing w:after="0"/>
      <w:jc w:val="both"/>
      <w:rPr>
        <w:sz w:val="10"/>
        <w:szCs w:val="10"/>
        <w:lang w:val="en-GB"/>
      </w:rPr>
    </w:pPr>
    <w:r w:rsidRPr="001A02FB">
      <w:rPr>
        <w:sz w:val="10"/>
        <w:szCs w:val="10"/>
        <w:lang w:val="en-GB"/>
      </w:rPr>
      <w:t> </w:t>
    </w:r>
    <w:r w:rsidRPr="001A02FB">
      <w:rPr>
        <w:b/>
        <w:bCs/>
        <w:sz w:val="10"/>
        <w:szCs w:val="10"/>
        <w:lang w:val="en-GB"/>
      </w:rPr>
      <w:t>Structured Products</w:t>
    </w:r>
    <w:r w:rsidRPr="001A02FB">
      <w:rPr>
        <w:sz w:val="10"/>
        <w:szCs w:val="10"/>
        <w:lang w:val="en-GB"/>
      </w:rPr>
      <w:t>: The financial products in this document do not qualify as units of a collective investment scheme in the meaning of Article 7 et seqq. of the Swiss Federal Act on Collective Investment Schemes (CISA) and are therefore neither supervised by the Swiss Financial Market Supervisory Authority (FINMA) nor registered with FINMA. Investors do not benefit from the specific investor protection provided under CISA. </w:t>
    </w:r>
  </w:p>
  <w:p w14:paraId="3C5FE447" w14:textId="77777777" w:rsidR="002F0246" w:rsidRPr="001A02FB" w:rsidRDefault="002F0246" w:rsidP="003A192C">
    <w:pPr>
      <w:jc w:val="both"/>
      <w:rPr>
        <w:sz w:val="10"/>
        <w:szCs w:val="10"/>
        <w:lang w:val="en-GB"/>
      </w:rPr>
    </w:pPr>
    <w:r w:rsidRPr="001A02FB">
      <w:rPr>
        <w:sz w:val="10"/>
        <w:szCs w:val="10"/>
        <w:lang w:val="en-GB"/>
      </w:rPr>
      <w:t xml:space="preserve">No action has been or will be taken to permit a public offering of the financial products or possession or distribution of any offering material in relation to the financial products in any jurisdiction, where such action for that purpose is required. The most important jurisdictions where the financial products may not be publicly distributed are EEA, UK, Hong Kong and Singapore. The financial products may not be offered or sold within the USA, or to or for the account or benefit of US persons (as defined in Regulation S). It does not constitute a public offering, an offer to sell or a solicitation to buy any financial instruments and it is not research. It is not intended to form investment, legal or tax advice and should not be used as the basis for investment decisions. Before making an investment decision, you should obtain professional advice. Past performance is no indicator or guarantee of the future performance of a financial instrument. Individual services and products are subject to legal restrictions in certain countries. They may therefore not be offered throughout the world without restriction. All information is made without warranty to its currency, accuracy, or completeness. Aspermont Capital AG reserves the right to alter its services, products or prices at any time without prior notice. Aspermont Capital AG rejects </w:t>
    </w:r>
    <w:proofErr w:type="gramStart"/>
    <w:r w:rsidRPr="001A02FB">
      <w:rPr>
        <w:sz w:val="10"/>
        <w:szCs w:val="10"/>
        <w:lang w:val="en-GB"/>
      </w:rPr>
      <w:t>any and all</w:t>
    </w:r>
    <w:proofErr w:type="gramEnd"/>
    <w:r w:rsidRPr="001A02FB">
      <w:rPr>
        <w:sz w:val="10"/>
        <w:szCs w:val="10"/>
        <w:lang w:val="en-GB"/>
      </w:rPr>
      <w:t xml:space="preserve"> liability for incorrect or incomplete information. No responsibility is assumed in case of unsolicited delivery. Complete or partial reproduction without the express consent of Aspermont Capital AG is not permitted. </w:t>
    </w:r>
  </w:p>
  <w:bookmarkEnd w:id="2"/>
  <w:p w14:paraId="45C54678" w14:textId="24C958A7" w:rsidR="002F0246" w:rsidRDefault="002F0246" w:rsidP="003A192C">
    <w:pPr>
      <w:pStyle w:val="Footer"/>
      <w:jc w:val="both"/>
      <w:rPr>
        <w:sz w:val="10"/>
        <w:szCs w:val="10"/>
        <w:lang w:val="en-GB"/>
      </w:rPr>
    </w:pPr>
    <w:r w:rsidRPr="001A02FB">
      <w:rPr>
        <w:sz w:val="10"/>
        <w:szCs w:val="10"/>
        <w:lang w:val="en-GB"/>
      </w:rPr>
      <w:t xml:space="preserve">The relevant product documentation of the financial products can be obtained directly at Aspermont Capital AG, </w:t>
    </w:r>
    <w:proofErr w:type="spellStart"/>
    <w:r w:rsidRPr="001A02FB">
      <w:rPr>
        <w:sz w:val="10"/>
        <w:szCs w:val="10"/>
        <w:lang w:val="en-GB"/>
      </w:rPr>
      <w:t>Loewenstrasse</w:t>
    </w:r>
    <w:proofErr w:type="spellEnd"/>
    <w:r w:rsidRPr="001A02FB">
      <w:rPr>
        <w:sz w:val="10"/>
        <w:szCs w:val="10"/>
        <w:lang w:val="en-GB"/>
      </w:rPr>
      <w:t xml:space="preserve"> 66, CH-8001 Zurich, via telephone +41 43 888 66 44 or via email </w:t>
    </w:r>
    <w:hyperlink r:id="rId1" w:history="1">
      <w:r w:rsidRPr="001A02FB">
        <w:rPr>
          <w:rStyle w:val="Hyperlink"/>
          <w:sz w:val="10"/>
          <w:szCs w:val="10"/>
          <w:lang w:val="en-GB"/>
        </w:rPr>
        <w:t>info@ascap.ch</w:t>
      </w:r>
    </w:hyperlink>
    <w:r w:rsidRPr="001A02FB">
      <w:rPr>
        <w:sz w:val="10"/>
        <w:szCs w:val="10"/>
        <w:lang w:val="en-GB"/>
      </w:rPr>
      <w:t xml:space="preserve"> .  </w:t>
    </w:r>
  </w:p>
  <w:p w14:paraId="3C2D38CB" w14:textId="77777777" w:rsidR="002F0246" w:rsidRDefault="002F0246" w:rsidP="002F0246">
    <w:pPr>
      <w:pStyle w:val="Footer"/>
    </w:pPr>
    <w:r w:rsidRPr="001A02FB">
      <w:rPr>
        <w:sz w:val="10"/>
        <w:szCs w:val="10"/>
        <w:lang w:val="en-GB"/>
      </w:rPr>
      <w:t>© Aspermont Capital AG 202</w:t>
    </w:r>
    <w:r>
      <w:rPr>
        <w:sz w:val="10"/>
        <w:szCs w:val="10"/>
        <w:lang w:val="en-GB"/>
      </w:rPr>
      <w:t>5</w:t>
    </w:r>
    <w:r w:rsidRPr="001A02FB">
      <w:rPr>
        <w:sz w:val="10"/>
        <w:szCs w:val="10"/>
        <w:lang w:val="en-GB"/>
      </w:rPr>
      <w:t>. All rights reserved.</w:t>
    </w:r>
    <w:r w:rsidRPr="001A02FB">
      <w:rPr>
        <w:sz w:val="8"/>
        <w:szCs w:val="8"/>
        <w:lang w:val="en-GB"/>
      </w:rPr>
      <w:t> </w:t>
    </w:r>
    <w:bookmarkEnd w:id="3"/>
    <w:bookmarkEnd w:id="4"/>
    <w:bookmarkEnd w:id="5"/>
    <w:bookmarkEnd w:id="6"/>
  </w:p>
  <w:p w14:paraId="04BE1369" w14:textId="77777777" w:rsidR="00825411" w:rsidRPr="002F0246" w:rsidRDefault="00825411" w:rsidP="002F0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385A1" w14:textId="77777777" w:rsidR="00C2775A" w:rsidRDefault="00C2775A">
      <w:pPr>
        <w:spacing w:after="0" w:line="240" w:lineRule="auto"/>
      </w:pPr>
      <w:r>
        <w:separator/>
      </w:r>
    </w:p>
  </w:footnote>
  <w:footnote w:type="continuationSeparator" w:id="0">
    <w:p w14:paraId="33C57233" w14:textId="77777777" w:rsidR="00C2775A" w:rsidRDefault="00C27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7D9F" w14:textId="77777777" w:rsidR="00825411" w:rsidRDefault="00825411">
    <w:pPr>
      <w:pStyle w:val="Header"/>
      <w:jc w:val="right"/>
    </w:pPr>
    <w:r w:rsidRPr="00437B29">
      <w:rPr>
        <w:noProof/>
        <w:lang w:val="de-CH" w:eastAsia="de-CH"/>
      </w:rPr>
      <w:drawing>
        <wp:inline distT="0" distB="0" distL="0" distR="0" wp14:anchorId="686D5577" wp14:editId="45749EE8">
          <wp:extent cx="1314450" cy="209550"/>
          <wp:effectExtent l="19050" t="0" r="0" b="0"/>
          <wp:docPr id="1300811753" name="Picture 1" descr="Aspermont-FinServ_RGB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ermont-FinServ_RGB_L"/>
                  <pic:cNvPicPr>
                    <a:picLocks noChangeAspect="1" noChangeArrowheads="1"/>
                  </pic:cNvPicPr>
                </pic:nvPicPr>
                <pic:blipFill>
                  <a:blip r:embed="rId1"/>
                  <a:srcRect/>
                  <a:stretch>
                    <a:fillRect/>
                  </a:stretch>
                </pic:blipFill>
                <pic:spPr bwMode="auto">
                  <a:xfrm>
                    <a:off x="0" y="0"/>
                    <a:ext cx="1314450" cy="20955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411"/>
    <w:rsid w:val="0001235A"/>
    <w:rsid w:val="0001270F"/>
    <w:rsid w:val="00014017"/>
    <w:rsid w:val="000236D4"/>
    <w:rsid w:val="0003046D"/>
    <w:rsid w:val="00037037"/>
    <w:rsid w:val="000406D0"/>
    <w:rsid w:val="00063119"/>
    <w:rsid w:val="00064C2C"/>
    <w:rsid w:val="000651B4"/>
    <w:rsid w:val="00072C37"/>
    <w:rsid w:val="00073017"/>
    <w:rsid w:val="000819CB"/>
    <w:rsid w:val="00082B48"/>
    <w:rsid w:val="000A6B18"/>
    <w:rsid w:val="000B7B09"/>
    <w:rsid w:val="000E032B"/>
    <w:rsid w:val="000E0676"/>
    <w:rsid w:val="001026FF"/>
    <w:rsid w:val="001142C3"/>
    <w:rsid w:val="00117A9C"/>
    <w:rsid w:val="00135FAF"/>
    <w:rsid w:val="00143FC7"/>
    <w:rsid w:val="00145166"/>
    <w:rsid w:val="00151F42"/>
    <w:rsid w:val="001572CF"/>
    <w:rsid w:val="001606E1"/>
    <w:rsid w:val="001616E3"/>
    <w:rsid w:val="00161A5A"/>
    <w:rsid w:val="001777FA"/>
    <w:rsid w:val="00182A34"/>
    <w:rsid w:val="001B35C0"/>
    <w:rsid w:val="001C4752"/>
    <w:rsid w:val="001E1EC7"/>
    <w:rsid w:val="001E6222"/>
    <w:rsid w:val="001F5A0A"/>
    <w:rsid w:val="00201F19"/>
    <w:rsid w:val="00210B89"/>
    <w:rsid w:val="00210FA3"/>
    <w:rsid w:val="00223AC0"/>
    <w:rsid w:val="0022613C"/>
    <w:rsid w:val="00226773"/>
    <w:rsid w:val="0023039A"/>
    <w:rsid w:val="002338C0"/>
    <w:rsid w:val="00237938"/>
    <w:rsid w:val="0025055B"/>
    <w:rsid w:val="002633E8"/>
    <w:rsid w:val="00265E7B"/>
    <w:rsid w:val="0026708B"/>
    <w:rsid w:val="0027471E"/>
    <w:rsid w:val="002826F3"/>
    <w:rsid w:val="00294E69"/>
    <w:rsid w:val="002957A4"/>
    <w:rsid w:val="00295B8A"/>
    <w:rsid w:val="002B6ECC"/>
    <w:rsid w:val="002C704C"/>
    <w:rsid w:val="002C7468"/>
    <w:rsid w:val="002D5ECE"/>
    <w:rsid w:val="002E787C"/>
    <w:rsid w:val="002F0246"/>
    <w:rsid w:val="002F035F"/>
    <w:rsid w:val="003001E1"/>
    <w:rsid w:val="00303CC4"/>
    <w:rsid w:val="00306F42"/>
    <w:rsid w:val="00313C04"/>
    <w:rsid w:val="0032060D"/>
    <w:rsid w:val="00335E17"/>
    <w:rsid w:val="00341611"/>
    <w:rsid w:val="00360D4B"/>
    <w:rsid w:val="00361A97"/>
    <w:rsid w:val="00364ECF"/>
    <w:rsid w:val="00365E7C"/>
    <w:rsid w:val="003806E2"/>
    <w:rsid w:val="00386536"/>
    <w:rsid w:val="003908E6"/>
    <w:rsid w:val="00390A40"/>
    <w:rsid w:val="00394C4C"/>
    <w:rsid w:val="00396E15"/>
    <w:rsid w:val="003A192C"/>
    <w:rsid w:val="003A3A5A"/>
    <w:rsid w:val="003A4BC5"/>
    <w:rsid w:val="003A7ED1"/>
    <w:rsid w:val="003B297B"/>
    <w:rsid w:val="003D16EC"/>
    <w:rsid w:val="003D1AF6"/>
    <w:rsid w:val="003D3B97"/>
    <w:rsid w:val="003D7DFE"/>
    <w:rsid w:val="003F042F"/>
    <w:rsid w:val="00400365"/>
    <w:rsid w:val="00401BD6"/>
    <w:rsid w:val="004161E0"/>
    <w:rsid w:val="004254CF"/>
    <w:rsid w:val="00426309"/>
    <w:rsid w:val="004319FB"/>
    <w:rsid w:val="00440303"/>
    <w:rsid w:val="00441265"/>
    <w:rsid w:val="00445A3D"/>
    <w:rsid w:val="004567BB"/>
    <w:rsid w:val="00460739"/>
    <w:rsid w:val="00460E9C"/>
    <w:rsid w:val="00466330"/>
    <w:rsid w:val="0047296C"/>
    <w:rsid w:val="00476941"/>
    <w:rsid w:val="00480FA7"/>
    <w:rsid w:val="004921F6"/>
    <w:rsid w:val="004958F0"/>
    <w:rsid w:val="004A4816"/>
    <w:rsid w:val="004D2C5A"/>
    <w:rsid w:val="004D61A6"/>
    <w:rsid w:val="004D67E9"/>
    <w:rsid w:val="00505BE4"/>
    <w:rsid w:val="00522424"/>
    <w:rsid w:val="00523AE9"/>
    <w:rsid w:val="00524585"/>
    <w:rsid w:val="00524B9A"/>
    <w:rsid w:val="005323D7"/>
    <w:rsid w:val="00544C10"/>
    <w:rsid w:val="0056451E"/>
    <w:rsid w:val="00575966"/>
    <w:rsid w:val="005864AA"/>
    <w:rsid w:val="005905B4"/>
    <w:rsid w:val="005946D8"/>
    <w:rsid w:val="00597C9F"/>
    <w:rsid w:val="005A3D27"/>
    <w:rsid w:val="005B0F2F"/>
    <w:rsid w:val="005B1D68"/>
    <w:rsid w:val="005B5B1F"/>
    <w:rsid w:val="005C0B50"/>
    <w:rsid w:val="005C4160"/>
    <w:rsid w:val="005C4A26"/>
    <w:rsid w:val="00601B20"/>
    <w:rsid w:val="00610C26"/>
    <w:rsid w:val="00612EED"/>
    <w:rsid w:val="00613B67"/>
    <w:rsid w:val="00615FB4"/>
    <w:rsid w:val="00637297"/>
    <w:rsid w:val="006425AA"/>
    <w:rsid w:val="00643D07"/>
    <w:rsid w:val="00647E72"/>
    <w:rsid w:val="00674BEF"/>
    <w:rsid w:val="0068089E"/>
    <w:rsid w:val="006857CD"/>
    <w:rsid w:val="00685CAA"/>
    <w:rsid w:val="006936C3"/>
    <w:rsid w:val="00693B87"/>
    <w:rsid w:val="006A02BB"/>
    <w:rsid w:val="006A12AA"/>
    <w:rsid w:val="006A2D10"/>
    <w:rsid w:val="006A2FDA"/>
    <w:rsid w:val="006A3293"/>
    <w:rsid w:val="006A58AF"/>
    <w:rsid w:val="006A7B1D"/>
    <w:rsid w:val="006B0CDC"/>
    <w:rsid w:val="006B4BC4"/>
    <w:rsid w:val="006B7D2C"/>
    <w:rsid w:val="006B7F5C"/>
    <w:rsid w:val="006D13B5"/>
    <w:rsid w:val="006D3DFA"/>
    <w:rsid w:val="006E41DC"/>
    <w:rsid w:val="006E501C"/>
    <w:rsid w:val="006E7766"/>
    <w:rsid w:val="006F14EB"/>
    <w:rsid w:val="006F2FDD"/>
    <w:rsid w:val="00701829"/>
    <w:rsid w:val="00702F72"/>
    <w:rsid w:val="00704DBD"/>
    <w:rsid w:val="00711A58"/>
    <w:rsid w:val="007264CB"/>
    <w:rsid w:val="00726B3B"/>
    <w:rsid w:val="0073323C"/>
    <w:rsid w:val="00735F36"/>
    <w:rsid w:val="00744B50"/>
    <w:rsid w:val="00744CFF"/>
    <w:rsid w:val="0075469D"/>
    <w:rsid w:val="0076259D"/>
    <w:rsid w:val="007647CE"/>
    <w:rsid w:val="00781629"/>
    <w:rsid w:val="00786EC3"/>
    <w:rsid w:val="00797C08"/>
    <w:rsid w:val="007A7BC9"/>
    <w:rsid w:val="007B287B"/>
    <w:rsid w:val="007C7FA4"/>
    <w:rsid w:val="007D362F"/>
    <w:rsid w:val="007D5BE5"/>
    <w:rsid w:val="007D5DDA"/>
    <w:rsid w:val="007E6153"/>
    <w:rsid w:val="00814793"/>
    <w:rsid w:val="00821A7B"/>
    <w:rsid w:val="00825411"/>
    <w:rsid w:val="008267A9"/>
    <w:rsid w:val="00834283"/>
    <w:rsid w:val="008426BA"/>
    <w:rsid w:val="00847F17"/>
    <w:rsid w:val="008514A0"/>
    <w:rsid w:val="008520DA"/>
    <w:rsid w:val="008556CB"/>
    <w:rsid w:val="00857DFD"/>
    <w:rsid w:val="00860B74"/>
    <w:rsid w:val="00880679"/>
    <w:rsid w:val="00885948"/>
    <w:rsid w:val="008A5AFE"/>
    <w:rsid w:val="008A6D84"/>
    <w:rsid w:val="008B1DBC"/>
    <w:rsid w:val="008B5AF8"/>
    <w:rsid w:val="008B7F94"/>
    <w:rsid w:val="008E102D"/>
    <w:rsid w:val="008E3A4B"/>
    <w:rsid w:val="008E5CB9"/>
    <w:rsid w:val="008E6AD0"/>
    <w:rsid w:val="00900534"/>
    <w:rsid w:val="0090389D"/>
    <w:rsid w:val="00905847"/>
    <w:rsid w:val="00915C8A"/>
    <w:rsid w:val="009174AB"/>
    <w:rsid w:val="00924920"/>
    <w:rsid w:val="00925D5E"/>
    <w:rsid w:val="0092622C"/>
    <w:rsid w:val="00927A2F"/>
    <w:rsid w:val="009347F6"/>
    <w:rsid w:val="00934B67"/>
    <w:rsid w:val="009363EE"/>
    <w:rsid w:val="00940559"/>
    <w:rsid w:val="0094086E"/>
    <w:rsid w:val="00944B4C"/>
    <w:rsid w:val="00945C84"/>
    <w:rsid w:val="0095277D"/>
    <w:rsid w:val="00960ECD"/>
    <w:rsid w:val="00963FC9"/>
    <w:rsid w:val="00981FE5"/>
    <w:rsid w:val="00982FBE"/>
    <w:rsid w:val="00983F56"/>
    <w:rsid w:val="00984E54"/>
    <w:rsid w:val="00990D06"/>
    <w:rsid w:val="009A0CDF"/>
    <w:rsid w:val="009C389C"/>
    <w:rsid w:val="009C7578"/>
    <w:rsid w:val="009D2F79"/>
    <w:rsid w:val="009D6495"/>
    <w:rsid w:val="00A069DD"/>
    <w:rsid w:val="00A07C36"/>
    <w:rsid w:val="00A111AD"/>
    <w:rsid w:val="00A119DB"/>
    <w:rsid w:val="00A14D0B"/>
    <w:rsid w:val="00A1653A"/>
    <w:rsid w:val="00A178BE"/>
    <w:rsid w:val="00A2019A"/>
    <w:rsid w:val="00A223E3"/>
    <w:rsid w:val="00A251D2"/>
    <w:rsid w:val="00A51F25"/>
    <w:rsid w:val="00A61BDD"/>
    <w:rsid w:val="00A6577A"/>
    <w:rsid w:val="00A75B3E"/>
    <w:rsid w:val="00A87280"/>
    <w:rsid w:val="00A91ABD"/>
    <w:rsid w:val="00A96923"/>
    <w:rsid w:val="00AA2B1C"/>
    <w:rsid w:val="00AA474E"/>
    <w:rsid w:val="00AB7BD7"/>
    <w:rsid w:val="00AD2C8D"/>
    <w:rsid w:val="00AE6A3C"/>
    <w:rsid w:val="00B13B2A"/>
    <w:rsid w:val="00B231E7"/>
    <w:rsid w:val="00B2588C"/>
    <w:rsid w:val="00B303EC"/>
    <w:rsid w:val="00B3116A"/>
    <w:rsid w:val="00B36145"/>
    <w:rsid w:val="00B3688C"/>
    <w:rsid w:val="00B41D61"/>
    <w:rsid w:val="00B57241"/>
    <w:rsid w:val="00B62C25"/>
    <w:rsid w:val="00B73183"/>
    <w:rsid w:val="00B7478F"/>
    <w:rsid w:val="00B748E7"/>
    <w:rsid w:val="00B765AB"/>
    <w:rsid w:val="00B82C55"/>
    <w:rsid w:val="00BA298E"/>
    <w:rsid w:val="00BA3728"/>
    <w:rsid w:val="00BA4EA1"/>
    <w:rsid w:val="00BE4445"/>
    <w:rsid w:val="00BF0D32"/>
    <w:rsid w:val="00BF1968"/>
    <w:rsid w:val="00BF25AA"/>
    <w:rsid w:val="00BF2FBD"/>
    <w:rsid w:val="00C005DE"/>
    <w:rsid w:val="00C04C96"/>
    <w:rsid w:val="00C12270"/>
    <w:rsid w:val="00C23801"/>
    <w:rsid w:val="00C2775A"/>
    <w:rsid w:val="00C3341B"/>
    <w:rsid w:val="00C33AB8"/>
    <w:rsid w:val="00C3490B"/>
    <w:rsid w:val="00C4239C"/>
    <w:rsid w:val="00C45C16"/>
    <w:rsid w:val="00C4745C"/>
    <w:rsid w:val="00C54D9D"/>
    <w:rsid w:val="00C60611"/>
    <w:rsid w:val="00C6465B"/>
    <w:rsid w:val="00C66394"/>
    <w:rsid w:val="00C730EB"/>
    <w:rsid w:val="00C851A1"/>
    <w:rsid w:val="00C86469"/>
    <w:rsid w:val="00C87C01"/>
    <w:rsid w:val="00C93970"/>
    <w:rsid w:val="00CA4B1C"/>
    <w:rsid w:val="00CA6841"/>
    <w:rsid w:val="00CA7CB0"/>
    <w:rsid w:val="00CB38E5"/>
    <w:rsid w:val="00CC15B0"/>
    <w:rsid w:val="00CC785F"/>
    <w:rsid w:val="00CF29BA"/>
    <w:rsid w:val="00CF315B"/>
    <w:rsid w:val="00CF3D80"/>
    <w:rsid w:val="00CF7605"/>
    <w:rsid w:val="00D00F59"/>
    <w:rsid w:val="00D10A98"/>
    <w:rsid w:val="00D17087"/>
    <w:rsid w:val="00D220A0"/>
    <w:rsid w:val="00D27F80"/>
    <w:rsid w:val="00D33630"/>
    <w:rsid w:val="00D37953"/>
    <w:rsid w:val="00D41963"/>
    <w:rsid w:val="00D47FBE"/>
    <w:rsid w:val="00D71BF5"/>
    <w:rsid w:val="00D75D6E"/>
    <w:rsid w:val="00D81135"/>
    <w:rsid w:val="00DA11BB"/>
    <w:rsid w:val="00DA188E"/>
    <w:rsid w:val="00DA632B"/>
    <w:rsid w:val="00DB071D"/>
    <w:rsid w:val="00DC3B5C"/>
    <w:rsid w:val="00DC5CF9"/>
    <w:rsid w:val="00DD1E81"/>
    <w:rsid w:val="00DE050B"/>
    <w:rsid w:val="00DE5211"/>
    <w:rsid w:val="00DF7DD7"/>
    <w:rsid w:val="00E047A5"/>
    <w:rsid w:val="00E06C99"/>
    <w:rsid w:val="00E12761"/>
    <w:rsid w:val="00E162C2"/>
    <w:rsid w:val="00E22C5B"/>
    <w:rsid w:val="00E3036B"/>
    <w:rsid w:val="00E319EC"/>
    <w:rsid w:val="00E354F2"/>
    <w:rsid w:val="00E359B4"/>
    <w:rsid w:val="00E36B3E"/>
    <w:rsid w:val="00E44CA8"/>
    <w:rsid w:val="00E511AB"/>
    <w:rsid w:val="00E574A1"/>
    <w:rsid w:val="00E71D50"/>
    <w:rsid w:val="00E769A2"/>
    <w:rsid w:val="00E85880"/>
    <w:rsid w:val="00E859DA"/>
    <w:rsid w:val="00E91F08"/>
    <w:rsid w:val="00E94D16"/>
    <w:rsid w:val="00E97D50"/>
    <w:rsid w:val="00EA47D3"/>
    <w:rsid w:val="00EA68D8"/>
    <w:rsid w:val="00EB2A04"/>
    <w:rsid w:val="00EC1F34"/>
    <w:rsid w:val="00ED0ACB"/>
    <w:rsid w:val="00ED6C2B"/>
    <w:rsid w:val="00EF027B"/>
    <w:rsid w:val="00EF7EB3"/>
    <w:rsid w:val="00F03760"/>
    <w:rsid w:val="00F064AC"/>
    <w:rsid w:val="00F1062A"/>
    <w:rsid w:val="00F10909"/>
    <w:rsid w:val="00F13114"/>
    <w:rsid w:val="00F13AC3"/>
    <w:rsid w:val="00F23460"/>
    <w:rsid w:val="00F3381C"/>
    <w:rsid w:val="00F413DD"/>
    <w:rsid w:val="00F45BB7"/>
    <w:rsid w:val="00F529EE"/>
    <w:rsid w:val="00F52BF2"/>
    <w:rsid w:val="00F5400B"/>
    <w:rsid w:val="00F55104"/>
    <w:rsid w:val="00F6013C"/>
    <w:rsid w:val="00F62652"/>
    <w:rsid w:val="00F645CB"/>
    <w:rsid w:val="00F905AD"/>
    <w:rsid w:val="00F9063E"/>
    <w:rsid w:val="00FA12AA"/>
    <w:rsid w:val="00FA316A"/>
    <w:rsid w:val="00FA75B1"/>
    <w:rsid w:val="00FC2E48"/>
    <w:rsid w:val="00FC6E0C"/>
    <w:rsid w:val="00FD4D7B"/>
    <w:rsid w:val="00FE374D"/>
    <w:rsid w:val="00FF0411"/>
    <w:rsid w:val="00FF1F4A"/>
    <w:rsid w:val="00FF2F3A"/>
    <w:rsid w:val="00FF4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C5A31"/>
  <w15:chartTrackingRefBased/>
  <w15:docId w15:val="{B6C175F6-EEFC-4A68-B78A-F8C8C6FD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411"/>
    <w:pPr>
      <w:spacing w:after="200" w:line="276" w:lineRule="auto"/>
    </w:pPr>
    <w:rPr>
      <w:rFonts w:eastAsiaTheme="minorEastAsia"/>
      <w:kern w:val="0"/>
      <w:lang w:val="en-CA" w:eastAsia="en-CA"/>
      <w14:ligatures w14:val="none"/>
    </w:rPr>
  </w:style>
  <w:style w:type="paragraph" w:styleId="Heading1">
    <w:name w:val="heading 1"/>
    <w:basedOn w:val="Normal"/>
    <w:next w:val="Normal"/>
    <w:link w:val="Heading1Char"/>
    <w:uiPriority w:val="9"/>
    <w:qFormat/>
    <w:rsid w:val="0082541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411"/>
    <w:rPr>
      <w:rFonts w:asciiTheme="majorHAnsi" w:eastAsiaTheme="majorEastAsia" w:hAnsiTheme="majorHAnsi" w:cstheme="majorBidi"/>
      <w:b/>
      <w:bCs/>
      <w:color w:val="2F5496" w:themeColor="accent1" w:themeShade="BF"/>
      <w:kern w:val="0"/>
      <w:sz w:val="28"/>
      <w:szCs w:val="28"/>
      <w:lang w:val="en-CA" w:eastAsia="en-CA"/>
      <w14:ligatures w14:val="none"/>
    </w:rPr>
  </w:style>
  <w:style w:type="table" w:styleId="TableGrid">
    <w:name w:val="Table Grid"/>
    <w:basedOn w:val="TableNormal"/>
    <w:uiPriority w:val="59"/>
    <w:rsid w:val="00825411"/>
    <w:pPr>
      <w:spacing w:after="0" w:line="240" w:lineRule="auto"/>
    </w:pPr>
    <w:rPr>
      <w:rFonts w:eastAsiaTheme="minorEastAsia"/>
      <w:kern w:val="0"/>
      <w:lang w:val="en-CA"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5411"/>
    <w:pPr>
      <w:tabs>
        <w:tab w:val="center" w:pos="4703"/>
        <w:tab w:val="right" w:pos="9406"/>
      </w:tabs>
      <w:spacing w:after="0" w:line="240" w:lineRule="auto"/>
    </w:pPr>
  </w:style>
  <w:style w:type="character" w:customStyle="1" w:styleId="HeaderChar">
    <w:name w:val="Header Char"/>
    <w:basedOn w:val="DefaultParagraphFont"/>
    <w:link w:val="Header"/>
    <w:uiPriority w:val="99"/>
    <w:rsid w:val="00825411"/>
    <w:rPr>
      <w:rFonts w:eastAsiaTheme="minorEastAsia"/>
      <w:kern w:val="0"/>
      <w:lang w:val="en-CA" w:eastAsia="en-CA"/>
      <w14:ligatures w14:val="none"/>
    </w:rPr>
  </w:style>
  <w:style w:type="paragraph" w:styleId="Footer">
    <w:name w:val="footer"/>
    <w:basedOn w:val="Normal"/>
    <w:link w:val="FooterChar"/>
    <w:uiPriority w:val="99"/>
    <w:unhideWhenUsed/>
    <w:rsid w:val="00825411"/>
    <w:pPr>
      <w:tabs>
        <w:tab w:val="center" w:pos="4703"/>
        <w:tab w:val="right" w:pos="9406"/>
      </w:tabs>
      <w:spacing w:after="0" w:line="240" w:lineRule="auto"/>
    </w:pPr>
  </w:style>
  <w:style w:type="character" w:customStyle="1" w:styleId="FooterChar">
    <w:name w:val="Footer Char"/>
    <w:basedOn w:val="DefaultParagraphFont"/>
    <w:link w:val="Footer"/>
    <w:uiPriority w:val="99"/>
    <w:rsid w:val="00825411"/>
    <w:rPr>
      <w:rFonts w:eastAsiaTheme="minorEastAsia"/>
      <w:kern w:val="0"/>
      <w:lang w:val="en-CA" w:eastAsia="en-CA"/>
      <w14:ligatures w14:val="none"/>
    </w:rPr>
  </w:style>
  <w:style w:type="character" w:styleId="Hyperlink">
    <w:name w:val="Hyperlink"/>
    <w:basedOn w:val="DefaultParagraphFont"/>
    <w:uiPriority w:val="99"/>
    <w:unhideWhenUsed/>
    <w:rsid w:val="008254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ascap.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F69E17-CE6D-4CE1-9858-B523EFC08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4190</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 Analyst</dc:creator>
  <cp:keywords/>
  <dc:description/>
  <cp:lastModifiedBy>Clifford Binder</cp:lastModifiedBy>
  <cp:revision>10</cp:revision>
  <cp:lastPrinted>2026-05-08T09:25:00Z</cp:lastPrinted>
  <dcterms:created xsi:type="dcterms:W3CDTF">2026-05-08T08:55:00Z</dcterms:created>
  <dcterms:modified xsi:type="dcterms:W3CDTF">2026-06-12T12:51:00Z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5b4b3770f2024bbc7f0032c7cec8a064529e3e17c05e680f8c734955d707d645</vt:lpwstr>
  </property>
</Properties>
</file>