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single" w:sz="4" w:space="0" w:color="C00000"/>
          <w:right w:val="none" w:sz="0" w:space="0" w:color="auto"/>
          <w:insideH w:val="none" w:sz="0" w:space="0" w:color="auto"/>
          <w:insideV w:val="none" w:sz="0" w:space="0" w:color="auto"/>
        </w:tblBorders>
        <w:tblLook w:val="04A0" w:firstRow="1" w:lastRow="0" w:firstColumn="1" w:lastColumn="0" w:noHBand="0" w:noVBand="1"/>
      </w:tblPr>
      <w:tblGrid>
        <w:gridCol w:w="9212"/>
      </w:tblGrid>
      <w:tr w:rsidR="00825411" w:rsidRPr="006047A5" w14:paraId="1E0E1822" w14:textId="77777777">
        <w:tc>
          <w:tcPr>
            <w:tcW w:w="9212" w:type="dxa"/>
          </w:tcPr>
          <w:p w14:paraId="7044E4E5" w14:textId="1C54E2B2" w:rsidR="00825411" w:rsidRPr="00835938" w:rsidRDefault="00825411" w:rsidP="003A7ED1">
            <w:pPr>
              <w:pStyle w:val="Heading1"/>
              <w:spacing w:before="0"/>
              <w:rPr>
                <w:rFonts w:asciiTheme="minorHAnsi" w:hAnsiTheme="minorHAnsi"/>
                <w:color w:val="C00000"/>
                <w:sz w:val="48"/>
                <w:lang w:val="en-US"/>
              </w:rPr>
            </w:pPr>
            <w:r w:rsidRPr="00132966">
              <w:rPr>
                <w:rFonts w:asciiTheme="minorHAnsi" w:hAnsiTheme="minorHAnsi"/>
                <w:color w:val="C00000"/>
                <w:sz w:val="48"/>
                <w:lang w:val="en-US"/>
              </w:rPr>
              <w:t>AMC Aspermont Dividend Stock Basket</w:t>
            </w:r>
          </w:p>
        </w:tc>
      </w:tr>
    </w:tbl>
    <w:p w14:paraId="1DC09C68" w14:textId="7D10DEA4" w:rsidR="00825411" w:rsidRPr="00BE59E1" w:rsidRDefault="00825411" w:rsidP="00825411">
      <w:pPr>
        <w:spacing w:before="120" w:after="120"/>
        <w:jc w:val="center"/>
        <w:rPr>
          <w:rFonts w:ascii="Calibri" w:hAnsi="Calibri" w:cs="Calibri"/>
          <w:b/>
          <w:sz w:val="24"/>
          <w:lang w:val="en-US"/>
        </w:rPr>
      </w:pPr>
      <w:r w:rsidRPr="00BE59E1">
        <w:rPr>
          <w:rFonts w:ascii="Calibri" w:hAnsi="Calibri" w:cs="Calibri"/>
          <w:b/>
          <w:sz w:val="24"/>
          <w:lang w:val="en-US"/>
        </w:rPr>
        <w:t xml:space="preserve">Product update as of </w:t>
      </w:r>
      <w:r w:rsidR="00D27F80">
        <w:rPr>
          <w:rFonts w:ascii="Calibri" w:hAnsi="Calibri" w:cs="Calibri"/>
          <w:b/>
          <w:sz w:val="24"/>
          <w:lang w:val="en-US"/>
        </w:rPr>
        <w:t>April 30</w:t>
      </w:r>
      <w:r w:rsidR="00E12761">
        <w:rPr>
          <w:rFonts w:ascii="Calibri" w:hAnsi="Calibri" w:cs="Calibri"/>
          <w:b/>
          <w:sz w:val="24"/>
          <w:lang w:val="en-US"/>
        </w:rPr>
        <w:t>,</w:t>
      </w:r>
      <w:r w:rsidRPr="00BE59E1">
        <w:rPr>
          <w:rFonts w:ascii="Calibri" w:hAnsi="Calibri" w:cs="Calibri"/>
          <w:b/>
          <w:sz w:val="24"/>
          <w:lang w:val="en-US"/>
        </w:rPr>
        <w:t xml:space="preserve"> 202</w:t>
      </w:r>
      <w:r w:rsidR="006D3DFA">
        <w:rPr>
          <w:rFonts w:ascii="Calibri" w:hAnsi="Calibri" w:cs="Calibri"/>
          <w:b/>
          <w:sz w:val="24"/>
          <w:lang w:val="en-US"/>
        </w:rPr>
        <w:t>6</w:t>
      </w:r>
      <w:r w:rsidRPr="00BE59E1">
        <w:rPr>
          <w:rFonts w:ascii="Calibri" w:hAnsi="Calibri" w:cs="Calibri"/>
          <w:b/>
          <w:sz w:val="24"/>
          <w:lang w:val="en-US"/>
        </w:rPr>
        <w:tab/>
      </w:r>
    </w:p>
    <w:p w14:paraId="013D0346" w14:textId="31503B25" w:rsidR="00825411" w:rsidRPr="003D1AF6" w:rsidRDefault="00825411" w:rsidP="00825411">
      <w:pPr>
        <w:spacing w:after="0"/>
        <w:rPr>
          <w:rFonts w:ascii="Calibri" w:hAnsi="Calibri" w:cs="Calibri"/>
          <w:b/>
          <w:sz w:val="18"/>
          <w:lang w:val="en-US"/>
        </w:rPr>
      </w:pPr>
      <w:r w:rsidRPr="00BE59E1">
        <w:rPr>
          <w:rFonts w:ascii="Calibri" w:hAnsi="Calibri" w:cs="Calibri"/>
          <w:b/>
          <w:sz w:val="18"/>
          <w:lang w:val="en-US"/>
        </w:rPr>
        <w:t xml:space="preserve">NAV per </w:t>
      </w:r>
      <w:r w:rsidRPr="00182A34">
        <w:rPr>
          <w:rFonts w:ascii="Calibri" w:hAnsi="Calibri" w:cs="Calibri"/>
          <w:b/>
          <w:sz w:val="18"/>
          <w:lang w:val="en-US"/>
        </w:rPr>
        <w:t>share (</w:t>
      </w:r>
      <w:r w:rsidR="00D27F80">
        <w:rPr>
          <w:rFonts w:ascii="Calibri" w:hAnsi="Calibri" w:cs="Calibri"/>
          <w:b/>
          <w:sz w:val="18"/>
          <w:lang w:val="en-US"/>
        </w:rPr>
        <w:t>April 30</w:t>
      </w:r>
      <w:r w:rsidRPr="00182A34">
        <w:rPr>
          <w:rFonts w:ascii="Calibri" w:hAnsi="Calibri" w:cs="Calibri"/>
          <w:b/>
          <w:sz w:val="18"/>
          <w:lang w:val="en-US"/>
        </w:rPr>
        <w:t>, 202</w:t>
      </w:r>
      <w:r w:rsidR="006D3DFA">
        <w:rPr>
          <w:rFonts w:ascii="Calibri" w:hAnsi="Calibri" w:cs="Calibri"/>
          <w:b/>
          <w:sz w:val="18"/>
          <w:lang w:val="en-US"/>
        </w:rPr>
        <w:t>6</w:t>
      </w:r>
      <w:r w:rsidRPr="00182A34">
        <w:rPr>
          <w:rFonts w:ascii="Calibri" w:hAnsi="Calibri" w:cs="Calibri"/>
          <w:b/>
          <w:sz w:val="18"/>
          <w:lang w:val="en-US"/>
        </w:rPr>
        <w:t xml:space="preserve">): </w:t>
      </w:r>
      <w:bookmarkStart w:id="0" w:name="_Hlk155621766"/>
      <w:r w:rsidR="007264CB" w:rsidRPr="00182A34">
        <w:rPr>
          <w:b/>
          <w:sz w:val="18"/>
          <w:lang w:val="en-US"/>
        </w:rPr>
        <w:t xml:space="preserve">EUR </w:t>
      </w:r>
      <w:r w:rsidR="00D27F80">
        <w:rPr>
          <w:b/>
          <w:sz w:val="18"/>
          <w:lang w:val="en-US"/>
        </w:rPr>
        <w:t>209.23</w:t>
      </w:r>
      <w:r w:rsidR="007264CB" w:rsidRPr="00182A34">
        <w:rPr>
          <w:b/>
          <w:sz w:val="18"/>
          <w:lang w:val="en-US"/>
        </w:rPr>
        <w:t xml:space="preserve">, monthly </w:t>
      </w:r>
      <w:r w:rsidR="007264CB" w:rsidRPr="003D1AF6">
        <w:rPr>
          <w:b/>
          <w:sz w:val="18"/>
          <w:lang w:val="en-US"/>
        </w:rPr>
        <w:t>performance</w:t>
      </w:r>
      <w:bookmarkEnd w:id="0"/>
      <w:r w:rsidRPr="003D1AF6">
        <w:rPr>
          <w:rFonts w:ascii="Calibri" w:hAnsi="Calibri" w:cs="Calibri"/>
          <w:b/>
          <w:sz w:val="18"/>
          <w:lang w:val="en-US"/>
        </w:rPr>
        <w:t xml:space="preserve">: </w:t>
      </w:r>
      <w:r w:rsidR="00D27F80">
        <w:rPr>
          <w:rFonts w:ascii="Calibri" w:hAnsi="Calibri" w:cs="Calibri"/>
          <w:b/>
          <w:sz w:val="18"/>
          <w:lang w:val="en-US"/>
        </w:rPr>
        <w:t>+6.11</w:t>
      </w:r>
      <w:r w:rsidRPr="003D1AF6">
        <w:rPr>
          <w:rFonts w:ascii="Calibri" w:hAnsi="Calibri" w:cs="Calibri"/>
          <w:b/>
          <w:sz w:val="18"/>
          <w:lang w:val="en-US"/>
        </w:rPr>
        <w:t xml:space="preserve">%, YTD: </w:t>
      </w:r>
      <w:r w:rsidR="00D27F80">
        <w:rPr>
          <w:rFonts w:ascii="Calibri" w:hAnsi="Calibri" w:cs="Calibri"/>
          <w:b/>
          <w:sz w:val="18"/>
          <w:lang w:val="en-US"/>
        </w:rPr>
        <w:t>6.19</w:t>
      </w:r>
      <w:r w:rsidRPr="003D1AF6">
        <w:rPr>
          <w:rFonts w:ascii="Calibri" w:hAnsi="Calibri" w:cs="Calibri"/>
          <w:b/>
          <w:sz w:val="18"/>
          <w:lang w:val="en-US"/>
        </w:rPr>
        <w:t>%,</w:t>
      </w:r>
      <w:r w:rsidR="009174AB" w:rsidRPr="003D1AF6">
        <w:rPr>
          <w:rFonts w:ascii="Calibri" w:hAnsi="Calibri" w:cs="Calibri"/>
          <w:b/>
          <w:sz w:val="18"/>
          <w:lang w:val="en-US"/>
        </w:rPr>
        <w:t xml:space="preserve"> </w:t>
      </w:r>
      <w:r w:rsidRPr="003D1AF6">
        <w:rPr>
          <w:rFonts w:ascii="Calibri" w:hAnsi="Calibri" w:cs="Calibri"/>
          <w:b/>
          <w:sz w:val="18"/>
          <w:lang w:val="en-US"/>
        </w:rPr>
        <w:t>since inception: +</w:t>
      </w:r>
      <w:r w:rsidR="00D27F80">
        <w:rPr>
          <w:rFonts w:ascii="Calibri" w:hAnsi="Calibri" w:cs="Calibri"/>
          <w:b/>
          <w:sz w:val="18"/>
          <w:lang w:val="en-US"/>
        </w:rPr>
        <w:t>108.81</w:t>
      </w:r>
      <w:r w:rsidR="00DA188E" w:rsidRPr="003D1AF6">
        <w:rPr>
          <w:rFonts w:ascii="Calibri" w:hAnsi="Calibri" w:cs="Calibri"/>
          <w:b/>
          <w:sz w:val="18"/>
          <w:lang w:val="en-US"/>
        </w:rPr>
        <w:t>%</w:t>
      </w:r>
    </w:p>
    <w:p w14:paraId="1CB33E78" w14:textId="77777777" w:rsidR="00825411" w:rsidRPr="00BE59E1" w:rsidRDefault="00825411" w:rsidP="00825411">
      <w:pPr>
        <w:pStyle w:val="Heading1"/>
        <w:spacing w:before="240" w:after="120" w:line="240" w:lineRule="auto"/>
        <w:rPr>
          <w:rFonts w:ascii="Calibri" w:hAnsi="Calibri" w:cs="Calibri"/>
          <w:color w:val="C00000"/>
          <w:sz w:val="24"/>
          <w:lang w:val="en-US"/>
        </w:rPr>
      </w:pPr>
      <w:r w:rsidRPr="00BE59E1">
        <w:rPr>
          <w:rFonts w:ascii="Calibri" w:hAnsi="Calibri" w:cs="Calibri"/>
          <w:color w:val="C00000"/>
          <w:sz w:val="24"/>
          <w:lang w:val="en-US"/>
        </w:rPr>
        <w:t>The Aspermont Dividend Stock Basket</w:t>
      </w:r>
    </w:p>
    <w:p w14:paraId="221E374F" w14:textId="1B25E1B0" w:rsidR="00825411" w:rsidRPr="003A7ED1" w:rsidRDefault="00825411" w:rsidP="003A7ED1">
      <w:pPr>
        <w:spacing w:line="240" w:lineRule="auto"/>
        <w:jc w:val="both"/>
        <w:rPr>
          <w:rFonts w:ascii="Calibri" w:hAnsi="Calibri" w:cs="Calibri"/>
          <w:sz w:val="16"/>
          <w:szCs w:val="16"/>
          <w:lang w:val="en-US"/>
        </w:rPr>
      </w:pPr>
      <w:r w:rsidRPr="00A1740E">
        <w:rPr>
          <w:rFonts w:ascii="Calibri" w:hAnsi="Calibri" w:cs="Calibri"/>
          <w:sz w:val="16"/>
          <w:szCs w:val="16"/>
          <w:lang w:val="en-US"/>
        </w:rPr>
        <w:t xml:space="preserve">The Actively Managed (Strategy) Certificate (AMC) linked to the Aspermont Capital Dividend Stock Basket provides </w:t>
      </w:r>
      <w:proofErr w:type="gramStart"/>
      <w:r w:rsidRPr="00A1740E">
        <w:rPr>
          <w:rFonts w:ascii="Calibri" w:hAnsi="Calibri" w:cs="Calibri"/>
          <w:sz w:val="16"/>
          <w:szCs w:val="16"/>
          <w:lang w:val="en-US"/>
        </w:rPr>
        <w:t>investors</w:t>
      </w:r>
      <w:proofErr w:type="gramEnd"/>
      <w:r w:rsidRPr="00A1740E">
        <w:rPr>
          <w:rFonts w:ascii="Calibri" w:hAnsi="Calibri" w:cs="Calibri"/>
          <w:sz w:val="16"/>
          <w:szCs w:val="16"/>
          <w:lang w:val="en-US"/>
        </w:rPr>
        <w:t xml:space="preserve"> access to a broadly diversified portfolio of around 30 attractive value stocks. We particularly seek out companies with stable or growing dividends and payout ratios, driven by healthy balance sheet structures and sustainable revenue and earnings growth. While screening for such quantitative elements as margin growth, free cash flow and debt-to-equity ratios, qualitative aspects like management performance and corporate strategy are also included in our selection process. A minimum of 80% of the portfolio will be invested in large cap names with market capitalizations of over EUR 10 billion.</w:t>
      </w:r>
      <w:r w:rsidR="00693B87">
        <w:rPr>
          <w:rFonts w:ascii="Calibri" w:hAnsi="Calibri" w:cs="Calibri"/>
          <w:sz w:val="16"/>
          <w:szCs w:val="16"/>
          <w:lang w:val="en-US"/>
        </w:rPr>
        <w:t xml:space="preserve">  </w:t>
      </w:r>
    </w:p>
    <w:p w14:paraId="3DAED8D4" w14:textId="03B9B905" w:rsidR="00825411" w:rsidRPr="00A1740E" w:rsidRDefault="00825411" w:rsidP="00825411">
      <w:pPr>
        <w:spacing w:after="0" w:line="240" w:lineRule="auto"/>
        <w:jc w:val="both"/>
        <w:rPr>
          <w:b/>
          <w:bCs/>
          <w:color w:val="C00000"/>
          <w:sz w:val="24"/>
          <w:lang w:val="en-US"/>
        </w:rPr>
      </w:pPr>
      <w:r w:rsidRPr="00227BD9">
        <w:rPr>
          <w:b/>
          <w:bCs/>
          <w:color w:val="C00000"/>
          <w:sz w:val="24"/>
          <w:lang w:val="en-US"/>
        </w:rPr>
        <w:t>Manager’s Comment</w:t>
      </w:r>
    </w:p>
    <w:tbl>
      <w:tblPr>
        <w:tblStyle w:val="TableGrid"/>
        <w:tblW w:w="92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0" w:type="dxa"/>
          <w:right w:w="70" w:type="dxa"/>
        </w:tblCellMar>
        <w:tblLook w:val="04A0" w:firstRow="1" w:lastRow="0" w:firstColumn="1" w:lastColumn="0" w:noHBand="0" w:noVBand="1"/>
      </w:tblPr>
      <w:tblGrid>
        <w:gridCol w:w="4563"/>
        <w:gridCol w:w="160"/>
        <w:gridCol w:w="4516"/>
      </w:tblGrid>
      <w:tr w:rsidR="00825411" w:rsidRPr="002F035F" w14:paraId="0ED9987F" w14:textId="77777777">
        <w:trPr>
          <w:trHeight w:val="892"/>
        </w:trPr>
        <w:tc>
          <w:tcPr>
            <w:tcW w:w="4570" w:type="dxa"/>
          </w:tcPr>
          <w:p w14:paraId="4403B2F3" w14:textId="1A04B097" w:rsidR="00523AE9" w:rsidRPr="00DA632B" w:rsidRDefault="007E6153" w:rsidP="00D27F80">
            <w:pPr>
              <w:tabs>
                <w:tab w:val="left" w:pos="6073"/>
              </w:tabs>
              <w:suppressAutoHyphens/>
              <w:spacing w:after="120" w:line="240" w:lineRule="auto"/>
              <w:ind w:left="-74"/>
              <w:jc w:val="both"/>
              <w:rPr>
                <w:rFonts w:ascii="Calibri" w:hAnsi="Calibri" w:cs="Calibri"/>
                <w:sz w:val="16"/>
                <w:szCs w:val="16"/>
                <w:lang w:val="en-US"/>
              </w:rPr>
            </w:pPr>
            <w:r w:rsidRPr="00DA632B">
              <w:rPr>
                <w:rFonts w:ascii="Calibri" w:hAnsi="Calibri" w:cs="Calibri"/>
                <w:sz w:val="16"/>
                <w:szCs w:val="16"/>
                <w:lang w:val="en-US"/>
              </w:rPr>
              <w:t xml:space="preserve">In </w:t>
            </w:r>
            <w:r w:rsidR="00D27F80" w:rsidRPr="00DA632B">
              <w:rPr>
                <w:rFonts w:ascii="Calibri" w:hAnsi="Calibri" w:cs="Calibri"/>
                <w:sz w:val="16"/>
                <w:szCs w:val="16"/>
                <w:lang w:val="en-US"/>
              </w:rPr>
              <w:t>April</w:t>
            </w:r>
            <w:r w:rsidR="00523AE9" w:rsidRPr="00DA632B">
              <w:rPr>
                <w:rFonts w:ascii="Calibri" w:hAnsi="Calibri" w:cs="Calibri"/>
                <w:sz w:val="16"/>
                <w:szCs w:val="16"/>
                <w:lang w:val="en-US"/>
              </w:rPr>
              <w:t xml:space="preserve">, the Dividend Basket delivered a performance of </w:t>
            </w:r>
            <w:r w:rsidR="00D27F80" w:rsidRPr="00DA632B">
              <w:rPr>
                <w:rFonts w:ascii="Calibri" w:hAnsi="Calibri" w:cs="Calibri"/>
                <w:sz w:val="16"/>
                <w:szCs w:val="16"/>
                <w:lang w:val="en-US"/>
              </w:rPr>
              <w:t>+6.11</w:t>
            </w:r>
            <w:r w:rsidR="00523AE9" w:rsidRPr="00DA632B">
              <w:rPr>
                <w:rFonts w:ascii="Calibri" w:hAnsi="Calibri" w:cs="Calibri"/>
                <w:sz w:val="16"/>
                <w:szCs w:val="16"/>
                <w:lang w:val="en-US"/>
              </w:rPr>
              <w:t>%</w:t>
            </w:r>
            <w:r w:rsidR="00E12761" w:rsidRPr="00DA632B">
              <w:rPr>
                <w:rFonts w:ascii="Calibri" w:hAnsi="Calibri" w:cs="Calibri"/>
                <w:sz w:val="16"/>
                <w:szCs w:val="16"/>
                <w:lang w:val="en-US"/>
              </w:rPr>
              <w:t xml:space="preserve">. With the </w:t>
            </w:r>
            <w:r w:rsidR="00D27F80" w:rsidRPr="00DA632B">
              <w:rPr>
                <w:rFonts w:ascii="Calibri" w:hAnsi="Calibri" w:cs="Calibri"/>
                <w:sz w:val="16"/>
                <w:szCs w:val="16"/>
                <w:lang w:val="en-US"/>
              </w:rPr>
              <w:t xml:space="preserve">prospect of a possible agreement that could deescalate the situation in the Middle East, markets rebounded together as the earnings seasons also delivered good results: </w:t>
            </w:r>
            <w:r w:rsidR="00E12761" w:rsidRPr="00DA632B">
              <w:rPr>
                <w:rFonts w:ascii="Calibri" w:hAnsi="Calibri" w:cs="Calibri"/>
                <w:sz w:val="16"/>
                <w:szCs w:val="16"/>
                <w:lang w:val="en-US"/>
              </w:rPr>
              <w:t xml:space="preserve">DAX </w:t>
            </w:r>
            <w:r w:rsidR="00D27F80" w:rsidRPr="00DA632B">
              <w:rPr>
                <w:rFonts w:ascii="Calibri" w:hAnsi="Calibri" w:cs="Calibri"/>
                <w:sz w:val="16"/>
                <w:szCs w:val="16"/>
                <w:lang w:val="en-US"/>
              </w:rPr>
              <w:t>7.11</w:t>
            </w:r>
            <w:r w:rsidR="00E12761" w:rsidRPr="00DA632B">
              <w:rPr>
                <w:rFonts w:ascii="Calibri" w:hAnsi="Calibri" w:cs="Calibri"/>
                <w:sz w:val="16"/>
                <w:szCs w:val="16"/>
                <w:lang w:val="en-US"/>
              </w:rPr>
              <w:t xml:space="preserve">%, </w:t>
            </w:r>
            <w:proofErr w:type="spellStart"/>
            <w:r w:rsidR="00E12761" w:rsidRPr="00DA632B">
              <w:rPr>
                <w:rFonts w:ascii="Calibri" w:hAnsi="Calibri" w:cs="Calibri"/>
                <w:sz w:val="16"/>
                <w:szCs w:val="16"/>
                <w:lang w:val="en-US"/>
              </w:rPr>
              <w:t>Eurostoxx</w:t>
            </w:r>
            <w:proofErr w:type="spellEnd"/>
            <w:r w:rsidR="00E12761" w:rsidRPr="00DA632B">
              <w:rPr>
                <w:rFonts w:ascii="Calibri" w:hAnsi="Calibri" w:cs="Calibri"/>
                <w:sz w:val="16"/>
                <w:szCs w:val="16"/>
                <w:lang w:val="en-US"/>
              </w:rPr>
              <w:t xml:space="preserve"> 50</w:t>
            </w:r>
            <w:r w:rsidR="00D27F80" w:rsidRPr="00DA632B">
              <w:rPr>
                <w:rFonts w:ascii="Calibri" w:hAnsi="Calibri" w:cs="Calibri"/>
                <w:sz w:val="16"/>
                <w:szCs w:val="16"/>
                <w:lang w:val="en-US"/>
              </w:rPr>
              <w:t xml:space="preserve"> 5.60</w:t>
            </w:r>
            <w:r w:rsidR="00E12761" w:rsidRPr="00DA632B">
              <w:rPr>
                <w:rFonts w:ascii="Calibri" w:hAnsi="Calibri" w:cs="Calibri"/>
                <w:sz w:val="16"/>
                <w:szCs w:val="16"/>
                <w:lang w:val="en-US"/>
              </w:rPr>
              <w:t>%, SMI</w:t>
            </w:r>
            <w:r w:rsidR="00D27F80" w:rsidRPr="00DA632B">
              <w:rPr>
                <w:rFonts w:ascii="Calibri" w:hAnsi="Calibri" w:cs="Calibri"/>
                <w:sz w:val="16"/>
                <w:szCs w:val="16"/>
                <w:lang w:val="en-US"/>
              </w:rPr>
              <w:t xml:space="preserve"> 2.81</w:t>
            </w:r>
            <w:r w:rsidR="00E12761" w:rsidRPr="00DA632B">
              <w:rPr>
                <w:rFonts w:ascii="Calibri" w:hAnsi="Calibri" w:cs="Calibri"/>
                <w:sz w:val="16"/>
                <w:szCs w:val="16"/>
                <w:lang w:val="en-US"/>
              </w:rPr>
              <w:t xml:space="preserve">%, S&amp;P500 </w:t>
            </w:r>
            <w:r w:rsidR="00D27F80" w:rsidRPr="00DA632B">
              <w:rPr>
                <w:rFonts w:ascii="Calibri" w:hAnsi="Calibri" w:cs="Calibri"/>
                <w:sz w:val="16"/>
                <w:szCs w:val="16"/>
                <w:lang w:val="en-US"/>
              </w:rPr>
              <w:t>10.42</w:t>
            </w:r>
            <w:r w:rsidR="00E12761" w:rsidRPr="00DA632B">
              <w:rPr>
                <w:rFonts w:ascii="Calibri" w:hAnsi="Calibri" w:cs="Calibri"/>
                <w:sz w:val="16"/>
                <w:szCs w:val="16"/>
                <w:lang w:val="en-US"/>
              </w:rPr>
              <w:t>%</w:t>
            </w:r>
          </w:p>
          <w:p w14:paraId="6A90520D" w14:textId="3C2E2DD7" w:rsidR="00744CFF" w:rsidRPr="00DA632B" w:rsidRDefault="00C6465B" w:rsidP="00523AE9">
            <w:pPr>
              <w:tabs>
                <w:tab w:val="left" w:pos="6073"/>
              </w:tabs>
              <w:suppressAutoHyphens/>
              <w:spacing w:after="120" w:line="240" w:lineRule="auto"/>
              <w:ind w:left="-74"/>
              <w:jc w:val="both"/>
              <w:rPr>
                <w:rFonts w:ascii="Calibri" w:hAnsi="Calibri" w:cs="Calibri"/>
                <w:sz w:val="16"/>
                <w:szCs w:val="16"/>
                <w:lang w:val="en-US"/>
              </w:rPr>
            </w:pPr>
            <w:r w:rsidRPr="00DA632B">
              <w:rPr>
                <w:rFonts w:ascii="Calibri" w:hAnsi="Calibri" w:cs="Calibri"/>
                <w:sz w:val="16"/>
                <w:szCs w:val="16"/>
                <w:lang w:val="en-US"/>
              </w:rPr>
              <w:t>In general</w:t>
            </w:r>
            <w:r w:rsidR="00E85880" w:rsidRPr="00DA632B">
              <w:rPr>
                <w:rFonts w:ascii="Calibri" w:hAnsi="Calibri" w:cs="Calibri"/>
                <w:sz w:val="16"/>
                <w:szCs w:val="16"/>
                <w:lang w:val="en-US"/>
              </w:rPr>
              <w:t>,</w:t>
            </w:r>
            <w:r w:rsidRPr="00DA632B">
              <w:rPr>
                <w:rFonts w:ascii="Calibri" w:hAnsi="Calibri" w:cs="Calibri"/>
                <w:sz w:val="16"/>
                <w:szCs w:val="16"/>
                <w:lang w:val="en-US"/>
              </w:rPr>
              <w:t xml:space="preserve"> we </w:t>
            </w:r>
            <w:r w:rsidR="00D27F80" w:rsidRPr="00DA632B">
              <w:rPr>
                <w:rFonts w:ascii="Calibri" w:hAnsi="Calibri" w:cs="Calibri"/>
                <w:sz w:val="16"/>
                <w:szCs w:val="16"/>
                <w:lang w:val="en-US"/>
              </w:rPr>
              <w:t xml:space="preserve">continued with the </w:t>
            </w:r>
            <w:r w:rsidR="00744CFF" w:rsidRPr="00DA632B">
              <w:rPr>
                <w:rFonts w:ascii="Calibri" w:hAnsi="Calibri" w:cs="Calibri"/>
                <w:sz w:val="16"/>
                <w:szCs w:val="16"/>
                <w:lang w:val="en-US"/>
              </w:rPr>
              <w:t xml:space="preserve">lower overall </w:t>
            </w:r>
            <w:r w:rsidRPr="00DA632B">
              <w:rPr>
                <w:rFonts w:ascii="Calibri" w:hAnsi="Calibri" w:cs="Calibri"/>
                <w:sz w:val="16"/>
                <w:szCs w:val="16"/>
                <w:lang w:val="en-US"/>
              </w:rPr>
              <w:t xml:space="preserve">USD </w:t>
            </w:r>
            <w:r w:rsidR="00E769A2" w:rsidRPr="00DA632B">
              <w:rPr>
                <w:rFonts w:ascii="Calibri" w:hAnsi="Calibri" w:cs="Calibri"/>
                <w:sz w:val="16"/>
                <w:szCs w:val="16"/>
                <w:lang w:val="en-US"/>
              </w:rPr>
              <w:t>exposure of</w:t>
            </w:r>
            <w:r w:rsidRPr="00DA632B">
              <w:rPr>
                <w:rFonts w:ascii="Calibri" w:hAnsi="Calibri" w:cs="Calibri"/>
                <w:sz w:val="16"/>
                <w:szCs w:val="16"/>
                <w:lang w:val="en-US"/>
              </w:rPr>
              <w:t xml:space="preserve"> </w:t>
            </w:r>
            <w:r w:rsidR="00FA316A" w:rsidRPr="00DA632B">
              <w:rPr>
                <w:rFonts w:ascii="Calibri" w:hAnsi="Calibri" w:cs="Calibri"/>
                <w:sz w:val="16"/>
                <w:szCs w:val="16"/>
                <w:lang w:val="en-US"/>
              </w:rPr>
              <w:t>around 2</w:t>
            </w:r>
            <w:r w:rsidR="000B7B09" w:rsidRPr="00DA632B">
              <w:rPr>
                <w:rFonts w:ascii="Calibri" w:hAnsi="Calibri" w:cs="Calibri"/>
                <w:sz w:val="16"/>
                <w:szCs w:val="16"/>
                <w:lang w:val="en-US"/>
              </w:rPr>
              <w:t>0</w:t>
            </w:r>
            <w:r w:rsidR="00744CFF" w:rsidRPr="00DA632B">
              <w:rPr>
                <w:rFonts w:ascii="Calibri" w:hAnsi="Calibri" w:cs="Calibri"/>
                <w:sz w:val="16"/>
                <w:szCs w:val="16"/>
                <w:lang w:val="en-US"/>
              </w:rPr>
              <w:t xml:space="preserve">%. The USD has been weak in </w:t>
            </w:r>
            <w:r w:rsidR="00693B87" w:rsidRPr="00DA632B">
              <w:rPr>
                <w:rFonts w:ascii="Calibri" w:hAnsi="Calibri" w:cs="Calibri"/>
                <w:sz w:val="16"/>
                <w:szCs w:val="16"/>
                <w:lang w:val="en-US"/>
              </w:rPr>
              <w:t xml:space="preserve">the past months </w:t>
            </w:r>
            <w:r w:rsidR="00E769A2" w:rsidRPr="00DA632B">
              <w:rPr>
                <w:rFonts w:ascii="Calibri" w:hAnsi="Calibri" w:cs="Calibri"/>
                <w:sz w:val="16"/>
                <w:szCs w:val="16"/>
                <w:lang w:val="en-US"/>
              </w:rPr>
              <w:t>and in</w:t>
            </w:r>
            <w:r w:rsidR="00693B87" w:rsidRPr="00DA632B">
              <w:rPr>
                <w:rFonts w:ascii="Calibri" w:hAnsi="Calibri" w:cs="Calibri"/>
                <w:sz w:val="16"/>
                <w:szCs w:val="16"/>
                <w:lang w:val="en-US"/>
              </w:rPr>
              <w:t xml:space="preserve"> </w:t>
            </w:r>
            <w:r w:rsidR="006B4BC4" w:rsidRPr="00DA632B">
              <w:rPr>
                <w:rFonts w:ascii="Calibri" w:hAnsi="Calibri" w:cs="Calibri"/>
                <w:sz w:val="16"/>
                <w:szCs w:val="16"/>
                <w:lang w:val="en-US"/>
              </w:rPr>
              <w:t xml:space="preserve">April it weakened against </w:t>
            </w:r>
            <w:r w:rsidR="00693B87" w:rsidRPr="00DA632B">
              <w:rPr>
                <w:rFonts w:ascii="Calibri" w:hAnsi="Calibri" w:cs="Calibri"/>
                <w:sz w:val="16"/>
                <w:szCs w:val="16"/>
                <w:lang w:val="en-US"/>
              </w:rPr>
              <w:t>the EUR</w:t>
            </w:r>
            <w:r w:rsidR="00FA316A" w:rsidRPr="00DA632B">
              <w:rPr>
                <w:rFonts w:ascii="Calibri" w:hAnsi="Calibri" w:cs="Calibri"/>
                <w:sz w:val="16"/>
                <w:szCs w:val="16"/>
                <w:lang w:val="en-US"/>
              </w:rPr>
              <w:t xml:space="preserve"> with </w:t>
            </w:r>
            <w:r w:rsidR="006B4BC4" w:rsidRPr="00DA632B">
              <w:rPr>
                <w:rFonts w:ascii="Calibri" w:hAnsi="Calibri" w:cs="Calibri"/>
                <w:sz w:val="16"/>
                <w:szCs w:val="16"/>
                <w:lang w:val="en-US"/>
              </w:rPr>
              <w:t>-1.60</w:t>
            </w:r>
            <w:r w:rsidR="00FA316A" w:rsidRPr="00DA632B">
              <w:rPr>
                <w:rFonts w:ascii="Calibri" w:hAnsi="Calibri" w:cs="Calibri"/>
                <w:sz w:val="16"/>
                <w:szCs w:val="16"/>
                <w:lang w:val="en-US"/>
              </w:rPr>
              <w:t>%</w:t>
            </w:r>
            <w:r w:rsidR="006B4BC4" w:rsidRPr="00DA632B">
              <w:rPr>
                <w:rFonts w:ascii="Calibri" w:hAnsi="Calibri" w:cs="Calibri"/>
                <w:sz w:val="16"/>
                <w:szCs w:val="16"/>
                <w:lang w:val="en-US"/>
              </w:rPr>
              <w:t xml:space="preserve">. </w:t>
            </w:r>
          </w:p>
          <w:p w14:paraId="6CCA3816" w14:textId="562E2319" w:rsidR="00D10A98" w:rsidRPr="00DA632B" w:rsidRDefault="00CF29BA" w:rsidP="003D1AF6">
            <w:pPr>
              <w:tabs>
                <w:tab w:val="left" w:pos="6073"/>
              </w:tabs>
              <w:suppressAutoHyphens/>
              <w:spacing w:after="120" w:line="240" w:lineRule="auto"/>
              <w:ind w:left="-74"/>
              <w:jc w:val="both"/>
              <w:rPr>
                <w:rFonts w:ascii="Calibri" w:hAnsi="Calibri" w:cs="Calibri"/>
                <w:sz w:val="16"/>
                <w:szCs w:val="16"/>
              </w:rPr>
            </w:pPr>
            <w:r w:rsidRPr="00DA632B">
              <w:rPr>
                <w:rFonts w:ascii="Calibri" w:hAnsi="Calibri" w:cs="Calibri"/>
                <w:sz w:val="16"/>
                <w:szCs w:val="16"/>
                <w:lang w:val="en-US"/>
              </w:rPr>
              <w:t xml:space="preserve">In </w:t>
            </w:r>
            <w:r w:rsidR="006B4BC4" w:rsidRPr="00DA632B">
              <w:rPr>
                <w:rFonts w:ascii="Calibri" w:hAnsi="Calibri" w:cs="Calibri"/>
                <w:sz w:val="16"/>
                <w:szCs w:val="16"/>
                <w:lang w:val="en-US"/>
              </w:rPr>
              <w:t>April</w:t>
            </w:r>
            <w:r w:rsidR="000B7B09" w:rsidRPr="00DA632B">
              <w:rPr>
                <w:rFonts w:ascii="Calibri" w:hAnsi="Calibri" w:cs="Calibri"/>
                <w:sz w:val="16"/>
                <w:szCs w:val="16"/>
                <w:lang w:val="en-US"/>
              </w:rPr>
              <w:t xml:space="preserve">, one stock </w:t>
            </w:r>
            <w:r w:rsidR="00E769A2" w:rsidRPr="00DA632B">
              <w:rPr>
                <w:rFonts w:ascii="Calibri" w:hAnsi="Calibri" w:cs="Calibri"/>
                <w:sz w:val="16"/>
                <w:szCs w:val="16"/>
                <w:lang w:val="en-US"/>
              </w:rPr>
              <w:t>stood</w:t>
            </w:r>
            <w:r w:rsidR="006B4BC4" w:rsidRPr="00DA632B">
              <w:rPr>
                <w:rFonts w:ascii="Calibri" w:hAnsi="Calibri" w:cs="Calibri"/>
                <w:sz w:val="16"/>
                <w:szCs w:val="16"/>
                <w:lang w:val="en-US"/>
              </w:rPr>
              <w:t xml:space="preserve"> out – Nokia. Nokia was up 57.4% in our basket</w:t>
            </w:r>
            <w:r w:rsidR="00E859DA" w:rsidRPr="00DA632B">
              <w:rPr>
                <w:rFonts w:ascii="Calibri" w:hAnsi="Calibri" w:cs="Calibri"/>
                <w:sz w:val="16"/>
                <w:szCs w:val="16"/>
                <w:lang w:val="en-US"/>
              </w:rPr>
              <w:t xml:space="preserve">. It started the month </w:t>
            </w:r>
            <w:proofErr w:type="gramStart"/>
            <w:r w:rsidR="00E769A2" w:rsidRPr="00DA632B">
              <w:rPr>
                <w:rFonts w:ascii="Calibri" w:hAnsi="Calibri" w:cs="Calibri"/>
                <w:sz w:val="16"/>
                <w:szCs w:val="16"/>
                <w:lang w:val="en-US"/>
              </w:rPr>
              <w:t>as</w:t>
            </w:r>
            <w:proofErr w:type="gramEnd"/>
            <w:r w:rsidR="00E859DA" w:rsidRPr="00DA632B">
              <w:rPr>
                <w:rFonts w:ascii="Calibri" w:hAnsi="Calibri" w:cs="Calibri"/>
                <w:sz w:val="16"/>
                <w:szCs w:val="16"/>
                <w:lang w:val="en-US"/>
              </w:rPr>
              <w:t xml:space="preserve"> a 5.</w:t>
            </w:r>
            <w:r w:rsidR="00D10A98" w:rsidRPr="00DA632B">
              <w:rPr>
                <w:rFonts w:ascii="Calibri" w:hAnsi="Calibri" w:cs="Calibri"/>
                <w:sz w:val="16"/>
                <w:szCs w:val="16"/>
                <w:lang w:val="en-US"/>
              </w:rPr>
              <w:t>6</w:t>
            </w:r>
            <w:r w:rsidR="00E859DA" w:rsidRPr="00DA632B">
              <w:rPr>
                <w:rFonts w:ascii="Calibri" w:hAnsi="Calibri" w:cs="Calibri"/>
                <w:sz w:val="16"/>
                <w:szCs w:val="16"/>
                <w:lang w:val="en-US"/>
              </w:rPr>
              <w:t xml:space="preserve">% position that where we took profit back to 5% at the beginning of the </w:t>
            </w:r>
            <w:r w:rsidR="00E769A2" w:rsidRPr="00DA632B">
              <w:rPr>
                <w:rFonts w:ascii="Calibri" w:hAnsi="Calibri" w:cs="Calibri"/>
                <w:sz w:val="16"/>
                <w:szCs w:val="16"/>
                <w:lang w:val="en-US"/>
              </w:rPr>
              <w:t>month and</w:t>
            </w:r>
            <w:r w:rsidR="00E859DA" w:rsidRPr="00DA632B">
              <w:rPr>
                <w:rFonts w:ascii="Calibri" w:hAnsi="Calibri" w:cs="Calibri"/>
                <w:sz w:val="16"/>
                <w:szCs w:val="16"/>
                <w:lang w:val="en-US"/>
              </w:rPr>
              <w:t xml:space="preserve"> ended the month with a 6.</w:t>
            </w:r>
            <w:r w:rsidR="00D10A98" w:rsidRPr="00DA632B">
              <w:rPr>
                <w:rFonts w:ascii="Calibri" w:hAnsi="Calibri" w:cs="Calibri"/>
                <w:sz w:val="16"/>
                <w:szCs w:val="16"/>
                <w:lang w:val="en-US"/>
              </w:rPr>
              <w:t>9</w:t>
            </w:r>
            <w:r w:rsidR="00E859DA" w:rsidRPr="00DA632B">
              <w:rPr>
                <w:rFonts w:ascii="Calibri" w:hAnsi="Calibri" w:cs="Calibri"/>
                <w:sz w:val="16"/>
                <w:szCs w:val="16"/>
                <w:lang w:val="en-US"/>
              </w:rPr>
              <w:t>% allocation that contributed 2.5% to the basket. Nokia stock rose in April after strong earnings, booming AI infrastructure demand, analyst upgrades, and optimism around cloud networking growth. The second strongest performed in the basket was Siemens AG, (2.5% position, 22.3% performance) the company</w:t>
            </w:r>
            <w:r w:rsidR="00E859DA" w:rsidRPr="00DA632B">
              <w:rPr>
                <w:rFonts w:ascii="Calibri" w:hAnsi="Calibri" w:cs="Calibri"/>
                <w:sz w:val="16"/>
                <w:szCs w:val="16"/>
              </w:rPr>
              <w:t xml:space="preserve"> rose in April on strong earnings, AI-driven automation demand, positive guidance, and optimism around industrial infrastructure growth.</w:t>
            </w:r>
            <w:r w:rsidR="00E859DA" w:rsidRPr="00DA632B">
              <w:rPr>
                <w:rFonts w:ascii="Calibri" w:hAnsi="Calibri" w:cs="Calibri"/>
                <w:sz w:val="16"/>
                <w:szCs w:val="16"/>
                <w:lang w:val="en-US"/>
              </w:rPr>
              <w:t xml:space="preserve"> We added a new position at the beginning of April – Siemens Energy (1% starting position) that became the third best performer (+21%) they </w:t>
            </w:r>
            <w:r w:rsidR="00E859DA" w:rsidRPr="00DA632B">
              <w:rPr>
                <w:rFonts w:ascii="Calibri" w:hAnsi="Calibri" w:cs="Calibri"/>
                <w:sz w:val="16"/>
                <w:szCs w:val="16"/>
              </w:rPr>
              <w:t>surged in April after strong earnings, higher profit guidance, grid expansion demand, and accelerating global AI power needs.</w:t>
            </w:r>
            <w:r w:rsidR="00D10A98" w:rsidRPr="00DA632B">
              <w:rPr>
                <w:rFonts w:ascii="Calibri" w:hAnsi="Calibri" w:cs="Calibri"/>
                <w:sz w:val="16"/>
                <w:szCs w:val="16"/>
              </w:rPr>
              <w:t xml:space="preserve"> April showed that industrial companies are delivering strong numbers due to the global AI growth. Schneider Electric, also a 5% position, performed +16.3%, their shares performed strongly in April as investors reacted positively to rising AI-driven data center demand, strong energy management and automation earnings, and growing global investment in electricity infrastructure and efficiency solutions. Morgan Stanley (2.7% position, +12.9% performance in EUR) was the last &gt;10% performer in our basket. The company’s shares rose in April following strong quarterly earnings, resilient investment banking performance, increased trading revenues, and growing investor confidence in capital markets recovery and AI-related technology financing activity.</w:t>
            </w:r>
          </w:p>
          <w:p w14:paraId="2F2F7A90" w14:textId="49554291" w:rsidR="003D1AF6" w:rsidRPr="00DA632B" w:rsidRDefault="00D10A98" w:rsidP="003D1AF6">
            <w:pPr>
              <w:tabs>
                <w:tab w:val="left" w:pos="6073"/>
              </w:tabs>
              <w:suppressAutoHyphens/>
              <w:spacing w:after="120" w:line="240" w:lineRule="auto"/>
              <w:ind w:left="-74"/>
              <w:jc w:val="both"/>
              <w:rPr>
                <w:rFonts w:ascii="Calibri" w:hAnsi="Calibri" w:cs="Calibri"/>
                <w:sz w:val="16"/>
                <w:szCs w:val="16"/>
                <w:lang w:val="en-US"/>
              </w:rPr>
            </w:pPr>
            <w:r w:rsidRPr="00DA632B">
              <w:rPr>
                <w:rFonts w:ascii="Calibri" w:hAnsi="Calibri" w:cs="Calibri"/>
                <w:sz w:val="16"/>
                <w:szCs w:val="16"/>
                <w:lang w:val="en-US"/>
              </w:rPr>
              <w:t xml:space="preserve">Deutsche Telekom was our weakest stock in April. (-13.2%) that came under pressure on, currency headwinds and profit taking after a strong performance, and the takeover/merger discussion with T-Mobile with worries about political complications as the German government holds a substantial stake in the company. </w:t>
            </w:r>
          </w:p>
          <w:p w14:paraId="44886D63" w14:textId="0157A19F" w:rsidR="00505BE4" w:rsidRPr="00924920" w:rsidRDefault="00E511AB" w:rsidP="003D1AF6">
            <w:pPr>
              <w:tabs>
                <w:tab w:val="left" w:pos="6073"/>
              </w:tabs>
              <w:suppressAutoHyphens/>
              <w:spacing w:after="120" w:line="240" w:lineRule="auto"/>
              <w:ind w:left="-74"/>
              <w:jc w:val="both"/>
              <w:rPr>
                <w:rFonts w:ascii="Calibri" w:hAnsi="Calibri" w:cs="Calibri"/>
                <w:sz w:val="18"/>
                <w:szCs w:val="18"/>
                <w:lang w:val="en-US"/>
              </w:rPr>
            </w:pPr>
            <w:r w:rsidRPr="00DA632B">
              <w:rPr>
                <w:rFonts w:ascii="Calibri" w:hAnsi="Calibri" w:cs="Calibri"/>
                <w:sz w:val="16"/>
                <w:szCs w:val="16"/>
                <w:lang w:val="en-US"/>
              </w:rPr>
              <w:t xml:space="preserve">Moving into April we expect a recovery, especially in quality titles and are thus not changing our allocation immediately. We continue to </w:t>
            </w:r>
            <w:proofErr w:type="gramStart"/>
            <w:r w:rsidRPr="00DA632B">
              <w:rPr>
                <w:rFonts w:ascii="Calibri" w:hAnsi="Calibri" w:cs="Calibri"/>
                <w:sz w:val="16"/>
                <w:szCs w:val="16"/>
                <w:lang w:val="en-US"/>
              </w:rPr>
              <w:t>look into</w:t>
            </w:r>
            <w:proofErr w:type="gramEnd"/>
            <w:r w:rsidRPr="00DA632B">
              <w:rPr>
                <w:rFonts w:ascii="Calibri" w:hAnsi="Calibri" w:cs="Calibri"/>
                <w:sz w:val="16"/>
                <w:szCs w:val="16"/>
                <w:lang w:val="en-US"/>
              </w:rPr>
              <w:t xml:space="preserve"> further quality companies with stable cash flows to invest in. </w:t>
            </w:r>
            <w:r w:rsidR="000236D4" w:rsidRPr="00DA632B">
              <w:rPr>
                <w:rFonts w:ascii="Calibri" w:hAnsi="Calibri" w:cs="Calibri"/>
                <w:sz w:val="16"/>
                <w:szCs w:val="16"/>
                <w:lang w:val="en-US"/>
              </w:rPr>
              <w:t xml:space="preserve"> </w:t>
            </w:r>
          </w:p>
        </w:tc>
        <w:tc>
          <w:tcPr>
            <w:tcW w:w="147" w:type="dxa"/>
            <w:tcBorders>
              <w:right w:val="single" w:sz="4" w:space="0" w:color="C00000"/>
            </w:tcBorders>
          </w:tcPr>
          <w:p w14:paraId="40D94C1A" w14:textId="650D5869" w:rsidR="00825411" w:rsidRPr="00336A7D" w:rsidRDefault="00825411">
            <w:pPr>
              <w:jc w:val="center"/>
              <w:rPr>
                <w:b/>
                <w:sz w:val="18"/>
                <w:highlight w:val="yellow"/>
                <w:lang w:val="en-US"/>
              </w:rPr>
            </w:pPr>
          </w:p>
        </w:tc>
        <w:tc>
          <w:tcPr>
            <w:tcW w:w="4522" w:type="dxa"/>
            <w:tcBorders>
              <w:top w:val="single" w:sz="4" w:space="0" w:color="C00000"/>
              <w:bottom w:val="single" w:sz="4" w:space="0" w:color="C00000"/>
              <w:right w:val="single" w:sz="4" w:space="0" w:color="C00000"/>
            </w:tcBorders>
          </w:tcPr>
          <w:p w14:paraId="6B4952D1" w14:textId="77777777" w:rsidR="00825411" w:rsidRPr="007F6E5E" w:rsidRDefault="00825411">
            <w:pPr>
              <w:rPr>
                <w:i/>
                <w:sz w:val="12"/>
                <w:szCs w:val="12"/>
                <w:lang w:val="en-US"/>
              </w:rPr>
            </w:pPr>
          </w:p>
          <w:p w14:paraId="76FAFFCD" w14:textId="57372266" w:rsidR="00825411" w:rsidRPr="00B231E7" w:rsidRDefault="00400365" w:rsidP="00981FE5">
            <w:pPr>
              <w:spacing w:after="0"/>
              <w:ind w:left="101"/>
              <w:rPr>
                <w:i/>
                <w:sz w:val="12"/>
                <w:szCs w:val="12"/>
                <w:lang w:val="en-US"/>
              </w:rPr>
            </w:pPr>
            <w:r w:rsidRPr="00400365">
              <w:rPr>
                <w:i/>
                <w:noProof/>
                <w:sz w:val="12"/>
                <w:szCs w:val="12"/>
                <w:lang w:val="en-US"/>
              </w:rPr>
              <w:drawing>
                <wp:inline distT="0" distB="0" distL="0" distR="0" wp14:anchorId="0FD2787D" wp14:editId="09E61419">
                  <wp:extent cx="2602486" cy="2609215"/>
                  <wp:effectExtent l="0" t="0" r="7620" b="635"/>
                  <wp:docPr id="1224882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88288"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l="1786" r="1786"/>
                          <a:stretch>
                            <a:fillRect/>
                          </a:stretch>
                        </pic:blipFill>
                        <pic:spPr bwMode="auto">
                          <a:xfrm>
                            <a:off x="0" y="0"/>
                            <a:ext cx="2602486" cy="2609215"/>
                          </a:xfrm>
                          <a:prstGeom prst="rect">
                            <a:avLst/>
                          </a:prstGeom>
                          <a:noFill/>
                          <a:ln>
                            <a:noFill/>
                          </a:ln>
                          <a:extLst>
                            <a:ext uri="{53640926-AAD7-44D8-BBD7-CCE9431645EC}">
                              <a14:shadowObscured xmlns:a14="http://schemas.microsoft.com/office/drawing/2010/main"/>
                            </a:ext>
                          </a:extLst>
                        </pic:spPr>
                      </pic:pic>
                    </a:graphicData>
                  </a:graphic>
                </wp:inline>
              </w:drawing>
            </w:r>
          </w:p>
          <w:p w14:paraId="2A77F94E" w14:textId="20F07E63" w:rsidR="00390A40" w:rsidRDefault="00981FE5" w:rsidP="00726B3B">
            <w:pPr>
              <w:ind w:left="101" w:firstLine="149"/>
              <w:rPr>
                <w:i/>
                <w:sz w:val="14"/>
                <w:szCs w:val="14"/>
                <w:lang w:val="en-US"/>
              </w:rPr>
            </w:pPr>
            <w:r w:rsidRPr="00981FE5">
              <w:rPr>
                <w:i/>
                <w:sz w:val="14"/>
                <w:szCs w:val="14"/>
                <w:lang w:val="en-US"/>
              </w:rPr>
              <w:t>Current Composition (202</w:t>
            </w:r>
            <w:r w:rsidR="005B0F2F">
              <w:rPr>
                <w:i/>
                <w:sz w:val="14"/>
                <w:szCs w:val="14"/>
                <w:lang w:val="en-US"/>
              </w:rPr>
              <w:t>6</w:t>
            </w:r>
            <w:r w:rsidRPr="00981FE5">
              <w:rPr>
                <w:i/>
                <w:sz w:val="14"/>
                <w:szCs w:val="14"/>
                <w:lang w:val="en-US"/>
              </w:rPr>
              <w:t>)</w:t>
            </w:r>
          </w:p>
          <w:p w14:paraId="1D12D5B3" w14:textId="77777777" w:rsidR="00400365" w:rsidRDefault="00400365" w:rsidP="00726B3B">
            <w:pPr>
              <w:ind w:left="101" w:firstLine="149"/>
              <w:rPr>
                <w:i/>
                <w:sz w:val="14"/>
                <w:szCs w:val="14"/>
                <w:lang w:val="en-US"/>
              </w:rPr>
            </w:pPr>
          </w:p>
          <w:p w14:paraId="726B850E" w14:textId="58495F5F" w:rsidR="00825411" w:rsidRDefault="00D41963" w:rsidP="00981FE5">
            <w:pPr>
              <w:spacing w:after="0"/>
              <w:ind w:left="101"/>
              <w:rPr>
                <w:i/>
                <w:sz w:val="14"/>
                <w:szCs w:val="14"/>
                <w:lang w:val="en-US"/>
              </w:rPr>
            </w:pPr>
            <w:r w:rsidRPr="00D41963">
              <w:rPr>
                <w:i/>
                <w:noProof/>
                <w:sz w:val="14"/>
                <w:szCs w:val="14"/>
                <w:lang w:val="en-US"/>
              </w:rPr>
              <w:drawing>
                <wp:inline distT="0" distB="0" distL="0" distR="0" wp14:anchorId="20CDA4C4" wp14:editId="7186B7E2">
                  <wp:extent cx="2774950" cy="1661795"/>
                  <wp:effectExtent l="0" t="0" r="6350" b="0"/>
                  <wp:docPr id="4799997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74950" cy="1661795"/>
                          </a:xfrm>
                          <a:prstGeom prst="rect">
                            <a:avLst/>
                          </a:prstGeom>
                          <a:noFill/>
                          <a:ln>
                            <a:noFill/>
                          </a:ln>
                        </pic:spPr>
                      </pic:pic>
                    </a:graphicData>
                  </a:graphic>
                </wp:inline>
              </w:drawing>
            </w:r>
          </w:p>
          <w:p w14:paraId="21DC6D5D" w14:textId="6FE1809A" w:rsidR="00825411" w:rsidRDefault="00825411" w:rsidP="00726B3B">
            <w:pPr>
              <w:spacing w:after="0"/>
              <w:ind w:left="101" w:firstLine="239"/>
              <w:rPr>
                <w:i/>
                <w:sz w:val="14"/>
                <w:szCs w:val="14"/>
                <w:lang w:val="en-US"/>
              </w:rPr>
            </w:pPr>
            <w:r>
              <w:rPr>
                <w:i/>
                <w:sz w:val="14"/>
                <w:szCs w:val="14"/>
                <w:lang w:val="en-US"/>
              </w:rPr>
              <w:t>Perfo</w:t>
            </w:r>
            <w:r w:rsidR="009A0CDF">
              <w:rPr>
                <w:i/>
                <w:sz w:val="14"/>
                <w:szCs w:val="14"/>
                <w:lang w:val="en-US"/>
              </w:rPr>
              <w:t>r</w:t>
            </w:r>
            <w:r>
              <w:rPr>
                <w:i/>
                <w:sz w:val="14"/>
                <w:szCs w:val="14"/>
                <w:lang w:val="en-US"/>
              </w:rPr>
              <w:t xml:space="preserve">mance </w:t>
            </w:r>
            <w:r w:rsidR="005B0F2F">
              <w:rPr>
                <w:i/>
                <w:sz w:val="14"/>
                <w:szCs w:val="14"/>
                <w:lang w:val="en-US"/>
              </w:rPr>
              <w:t>12m</w:t>
            </w:r>
            <w:r>
              <w:rPr>
                <w:i/>
                <w:sz w:val="14"/>
                <w:szCs w:val="14"/>
                <w:lang w:val="en-US"/>
              </w:rPr>
              <w:t>: Source Bloomberg</w:t>
            </w:r>
          </w:p>
          <w:p w14:paraId="205C4541" w14:textId="5FF603FE" w:rsidR="00825411" w:rsidRPr="00CC2DDF" w:rsidRDefault="00825411" w:rsidP="006E41DC">
            <w:pPr>
              <w:spacing w:after="0"/>
              <w:rPr>
                <w:i/>
                <w:sz w:val="14"/>
                <w:szCs w:val="14"/>
                <w:lang w:val="en-US"/>
              </w:rPr>
            </w:pPr>
          </w:p>
        </w:tc>
      </w:tr>
    </w:tbl>
    <w:p w14:paraId="4CBBF75C" w14:textId="77777777" w:rsidR="00825411" w:rsidRPr="00566A59" w:rsidRDefault="00825411" w:rsidP="00825411">
      <w:pPr>
        <w:pStyle w:val="Heading1"/>
        <w:spacing w:before="0"/>
        <w:rPr>
          <w:rFonts w:asciiTheme="minorHAnsi" w:hAnsiTheme="minorHAnsi"/>
          <w:color w:val="C00000"/>
          <w:sz w:val="24"/>
          <w:lang w:val="en-US"/>
        </w:rPr>
      </w:pPr>
      <w:r w:rsidRPr="00394C4C">
        <w:rPr>
          <w:rFonts w:asciiTheme="minorHAnsi" w:hAnsiTheme="minorHAnsi"/>
          <w:color w:val="C00000"/>
          <w:sz w:val="24"/>
          <w:lang w:val="en-US"/>
        </w:rPr>
        <w:lastRenderedPageBreak/>
        <w:t>Return</w:t>
      </w:r>
    </w:p>
    <w:tbl>
      <w:tblPr>
        <w:tblStyle w:val="TableGrid"/>
        <w:tblW w:w="11196" w:type="pct"/>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0" w:type="dxa"/>
          <w:right w:w="70" w:type="dxa"/>
        </w:tblCellMar>
        <w:tblLook w:val="04A0" w:firstRow="1" w:lastRow="0" w:firstColumn="1" w:lastColumn="0" w:noHBand="0" w:noVBand="1"/>
      </w:tblPr>
      <w:tblGrid>
        <w:gridCol w:w="10317"/>
        <w:gridCol w:w="10317"/>
      </w:tblGrid>
      <w:tr w:rsidR="00825411" w:rsidRPr="001153A8" w14:paraId="29C38F3D" w14:textId="77777777" w:rsidTr="00FA75B1">
        <w:tc>
          <w:tcPr>
            <w:tcW w:w="10317" w:type="dxa"/>
          </w:tcPr>
          <w:tbl>
            <w:tblPr>
              <w:tblStyle w:val="TableGrid"/>
              <w:tblW w:w="9522" w:type="dxa"/>
              <w:tblLayout w:type="fixed"/>
              <w:tblLook w:val="04A0" w:firstRow="1" w:lastRow="0" w:firstColumn="1" w:lastColumn="0" w:noHBand="0" w:noVBand="1"/>
            </w:tblPr>
            <w:tblGrid>
              <w:gridCol w:w="534"/>
              <w:gridCol w:w="767"/>
              <w:gridCol w:w="660"/>
              <w:gridCol w:w="640"/>
              <w:gridCol w:w="650"/>
              <w:gridCol w:w="650"/>
              <w:gridCol w:w="650"/>
              <w:gridCol w:w="650"/>
              <w:gridCol w:w="650"/>
              <w:gridCol w:w="650"/>
              <w:gridCol w:w="650"/>
              <w:gridCol w:w="801"/>
              <w:gridCol w:w="713"/>
              <w:gridCol w:w="857"/>
            </w:tblGrid>
            <w:tr w:rsidR="00825411" w:rsidRPr="00D70A30" w14:paraId="09794058" w14:textId="77777777">
              <w:trPr>
                <w:trHeight w:val="437"/>
              </w:trPr>
              <w:tc>
                <w:tcPr>
                  <w:tcW w:w="534" w:type="dxa"/>
                  <w:shd w:val="clear" w:color="auto" w:fill="D9D9D9" w:themeFill="background1" w:themeFillShade="D9"/>
                  <w:vAlign w:val="center"/>
                </w:tcPr>
                <w:p w14:paraId="620D593D" w14:textId="77777777" w:rsidR="00825411" w:rsidRPr="00D70A30" w:rsidRDefault="00825411">
                  <w:pPr>
                    <w:pStyle w:val="Heading1"/>
                    <w:spacing w:before="0"/>
                    <w:jc w:val="center"/>
                    <w:rPr>
                      <w:rFonts w:asciiTheme="minorHAnsi" w:hAnsiTheme="minorHAnsi"/>
                      <w:color w:val="auto"/>
                      <w:sz w:val="13"/>
                      <w:szCs w:val="13"/>
                      <w:lang w:val="en-US"/>
                    </w:rPr>
                  </w:pPr>
                </w:p>
              </w:tc>
              <w:tc>
                <w:tcPr>
                  <w:tcW w:w="767" w:type="dxa"/>
                  <w:shd w:val="clear" w:color="auto" w:fill="D9D9D9" w:themeFill="background1" w:themeFillShade="D9"/>
                  <w:vAlign w:val="center"/>
                </w:tcPr>
                <w:p w14:paraId="35256AAD" w14:textId="77777777" w:rsidR="00825411" w:rsidRPr="00D70A30" w:rsidRDefault="00825411">
                  <w:pPr>
                    <w:pStyle w:val="Heading1"/>
                    <w:spacing w:before="0"/>
                    <w:jc w:val="center"/>
                    <w:rPr>
                      <w:rFonts w:asciiTheme="minorHAnsi" w:hAnsiTheme="minorHAnsi"/>
                      <w:color w:val="auto"/>
                      <w:sz w:val="13"/>
                      <w:szCs w:val="13"/>
                      <w:lang w:val="en-US"/>
                    </w:rPr>
                  </w:pPr>
                  <w:r w:rsidRPr="00D70A30">
                    <w:rPr>
                      <w:rFonts w:asciiTheme="minorHAnsi" w:hAnsiTheme="minorHAnsi"/>
                      <w:color w:val="auto"/>
                      <w:sz w:val="13"/>
                      <w:szCs w:val="13"/>
                      <w:lang w:val="en-US"/>
                    </w:rPr>
                    <w:t>Jan</w:t>
                  </w:r>
                </w:p>
              </w:tc>
              <w:tc>
                <w:tcPr>
                  <w:tcW w:w="660" w:type="dxa"/>
                  <w:shd w:val="clear" w:color="auto" w:fill="D9D9D9" w:themeFill="background1" w:themeFillShade="D9"/>
                  <w:vAlign w:val="center"/>
                </w:tcPr>
                <w:p w14:paraId="777A4FCD" w14:textId="77777777" w:rsidR="00825411" w:rsidRPr="00D70A30" w:rsidRDefault="00825411">
                  <w:pPr>
                    <w:pStyle w:val="Heading1"/>
                    <w:spacing w:before="0"/>
                    <w:jc w:val="center"/>
                    <w:rPr>
                      <w:rFonts w:asciiTheme="minorHAnsi" w:hAnsiTheme="minorHAnsi"/>
                      <w:color w:val="auto"/>
                      <w:sz w:val="13"/>
                      <w:szCs w:val="13"/>
                      <w:lang w:val="en-US"/>
                    </w:rPr>
                  </w:pPr>
                  <w:r w:rsidRPr="00D70A30">
                    <w:rPr>
                      <w:rFonts w:asciiTheme="minorHAnsi" w:hAnsiTheme="minorHAnsi"/>
                      <w:color w:val="auto"/>
                      <w:sz w:val="13"/>
                      <w:szCs w:val="13"/>
                      <w:lang w:val="en-US"/>
                    </w:rPr>
                    <w:t>Feb</w:t>
                  </w:r>
                </w:p>
              </w:tc>
              <w:tc>
                <w:tcPr>
                  <w:tcW w:w="640" w:type="dxa"/>
                  <w:shd w:val="clear" w:color="auto" w:fill="D9D9D9" w:themeFill="background1" w:themeFillShade="D9"/>
                  <w:vAlign w:val="center"/>
                </w:tcPr>
                <w:p w14:paraId="2A546D53" w14:textId="77777777" w:rsidR="00825411" w:rsidRPr="00D70A30" w:rsidRDefault="00825411">
                  <w:pPr>
                    <w:pStyle w:val="Heading1"/>
                    <w:spacing w:before="0"/>
                    <w:jc w:val="center"/>
                    <w:rPr>
                      <w:rFonts w:asciiTheme="minorHAnsi" w:hAnsiTheme="minorHAnsi"/>
                      <w:color w:val="auto"/>
                      <w:sz w:val="13"/>
                      <w:szCs w:val="13"/>
                      <w:lang w:val="en-US"/>
                    </w:rPr>
                  </w:pPr>
                  <w:r w:rsidRPr="00D70A30">
                    <w:rPr>
                      <w:rFonts w:asciiTheme="minorHAnsi" w:hAnsiTheme="minorHAnsi"/>
                      <w:color w:val="auto"/>
                      <w:sz w:val="13"/>
                      <w:szCs w:val="13"/>
                      <w:lang w:val="en-US"/>
                    </w:rPr>
                    <w:t>Mar</w:t>
                  </w:r>
                </w:p>
              </w:tc>
              <w:tc>
                <w:tcPr>
                  <w:tcW w:w="650" w:type="dxa"/>
                  <w:shd w:val="clear" w:color="auto" w:fill="D9D9D9" w:themeFill="background1" w:themeFillShade="D9"/>
                  <w:vAlign w:val="center"/>
                </w:tcPr>
                <w:p w14:paraId="03F2DAC1" w14:textId="77777777" w:rsidR="00825411" w:rsidRPr="00D70A30" w:rsidRDefault="00825411">
                  <w:pPr>
                    <w:pStyle w:val="Heading1"/>
                    <w:spacing w:before="0"/>
                    <w:jc w:val="center"/>
                    <w:rPr>
                      <w:rFonts w:asciiTheme="minorHAnsi" w:hAnsiTheme="minorHAnsi"/>
                      <w:color w:val="auto"/>
                      <w:sz w:val="13"/>
                      <w:szCs w:val="13"/>
                      <w:lang w:val="en-US"/>
                    </w:rPr>
                  </w:pPr>
                  <w:r w:rsidRPr="00D70A30">
                    <w:rPr>
                      <w:rFonts w:asciiTheme="minorHAnsi" w:hAnsiTheme="minorHAnsi"/>
                      <w:color w:val="auto"/>
                      <w:sz w:val="13"/>
                      <w:szCs w:val="13"/>
                      <w:lang w:val="en-US"/>
                    </w:rPr>
                    <w:t>Apr</w:t>
                  </w:r>
                </w:p>
              </w:tc>
              <w:tc>
                <w:tcPr>
                  <w:tcW w:w="650" w:type="dxa"/>
                  <w:shd w:val="clear" w:color="auto" w:fill="D9D9D9" w:themeFill="background1" w:themeFillShade="D9"/>
                  <w:vAlign w:val="center"/>
                </w:tcPr>
                <w:p w14:paraId="16BECA2D" w14:textId="77777777" w:rsidR="00825411" w:rsidRPr="00D70A30" w:rsidRDefault="00825411">
                  <w:pPr>
                    <w:pStyle w:val="Heading1"/>
                    <w:spacing w:before="0"/>
                    <w:jc w:val="center"/>
                    <w:rPr>
                      <w:rFonts w:asciiTheme="minorHAnsi" w:hAnsiTheme="minorHAnsi"/>
                      <w:color w:val="auto"/>
                      <w:sz w:val="13"/>
                      <w:szCs w:val="13"/>
                      <w:lang w:val="en-US"/>
                    </w:rPr>
                  </w:pPr>
                  <w:r w:rsidRPr="00D70A30">
                    <w:rPr>
                      <w:rFonts w:asciiTheme="minorHAnsi" w:hAnsiTheme="minorHAnsi"/>
                      <w:color w:val="auto"/>
                      <w:sz w:val="13"/>
                      <w:szCs w:val="13"/>
                      <w:lang w:val="en-US"/>
                    </w:rPr>
                    <w:t>May</w:t>
                  </w:r>
                </w:p>
              </w:tc>
              <w:tc>
                <w:tcPr>
                  <w:tcW w:w="650" w:type="dxa"/>
                  <w:shd w:val="clear" w:color="auto" w:fill="D9D9D9" w:themeFill="background1" w:themeFillShade="D9"/>
                  <w:vAlign w:val="center"/>
                </w:tcPr>
                <w:p w14:paraId="305ECC55" w14:textId="77777777" w:rsidR="00825411" w:rsidRPr="00D70A30" w:rsidRDefault="00825411">
                  <w:pPr>
                    <w:pStyle w:val="Heading1"/>
                    <w:spacing w:before="0"/>
                    <w:jc w:val="center"/>
                    <w:rPr>
                      <w:rFonts w:asciiTheme="minorHAnsi" w:hAnsiTheme="minorHAnsi"/>
                      <w:color w:val="auto"/>
                      <w:sz w:val="13"/>
                      <w:szCs w:val="13"/>
                      <w:lang w:val="en-US"/>
                    </w:rPr>
                  </w:pPr>
                  <w:r w:rsidRPr="00D70A30">
                    <w:rPr>
                      <w:rFonts w:asciiTheme="minorHAnsi" w:hAnsiTheme="minorHAnsi"/>
                      <w:color w:val="auto"/>
                      <w:sz w:val="13"/>
                      <w:szCs w:val="13"/>
                      <w:lang w:val="en-US"/>
                    </w:rPr>
                    <w:t>Jun</w:t>
                  </w:r>
                </w:p>
              </w:tc>
              <w:tc>
                <w:tcPr>
                  <w:tcW w:w="650" w:type="dxa"/>
                  <w:shd w:val="clear" w:color="auto" w:fill="D9D9D9" w:themeFill="background1" w:themeFillShade="D9"/>
                  <w:vAlign w:val="center"/>
                </w:tcPr>
                <w:p w14:paraId="3FD1A442" w14:textId="77777777" w:rsidR="00825411" w:rsidRPr="00D70A30" w:rsidRDefault="00825411">
                  <w:pPr>
                    <w:pStyle w:val="Heading1"/>
                    <w:spacing w:before="0"/>
                    <w:jc w:val="center"/>
                    <w:rPr>
                      <w:rFonts w:asciiTheme="minorHAnsi" w:hAnsiTheme="minorHAnsi"/>
                      <w:color w:val="auto"/>
                      <w:sz w:val="13"/>
                      <w:szCs w:val="13"/>
                      <w:lang w:val="en-US"/>
                    </w:rPr>
                  </w:pPr>
                  <w:r w:rsidRPr="00D70A30">
                    <w:rPr>
                      <w:rFonts w:asciiTheme="minorHAnsi" w:hAnsiTheme="minorHAnsi"/>
                      <w:color w:val="auto"/>
                      <w:sz w:val="13"/>
                      <w:szCs w:val="13"/>
                      <w:lang w:val="en-US"/>
                    </w:rPr>
                    <w:t>Jul</w:t>
                  </w:r>
                </w:p>
              </w:tc>
              <w:tc>
                <w:tcPr>
                  <w:tcW w:w="650" w:type="dxa"/>
                  <w:shd w:val="clear" w:color="auto" w:fill="D9D9D9" w:themeFill="background1" w:themeFillShade="D9"/>
                  <w:vAlign w:val="center"/>
                </w:tcPr>
                <w:p w14:paraId="68974779" w14:textId="77777777" w:rsidR="00825411" w:rsidRPr="00D70A30" w:rsidRDefault="00825411">
                  <w:pPr>
                    <w:pStyle w:val="Heading1"/>
                    <w:spacing w:before="0"/>
                    <w:jc w:val="center"/>
                    <w:rPr>
                      <w:rFonts w:asciiTheme="minorHAnsi" w:hAnsiTheme="minorHAnsi"/>
                      <w:color w:val="auto"/>
                      <w:sz w:val="13"/>
                      <w:szCs w:val="13"/>
                      <w:lang w:val="en-US"/>
                    </w:rPr>
                  </w:pPr>
                  <w:r w:rsidRPr="00D70A30">
                    <w:rPr>
                      <w:rFonts w:asciiTheme="minorHAnsi" w:hAnsiTheme="minorHAnsi"/>
                      <w:color w:val="auto"/>
                      <w:sz w:val="13"/>
                      <w:szCs w:val="13"/>
                      <w:lang w:val="en-US"/>
                    </w:rPr>
                    <w:t>Aug</w:t>
                  </w:r>
                </w:p>
              </w:tc>
              <w:tc>
                <w:tcPr>
                  <w:tcW w:w="650" w:type="dxa"/>
                  <w:shd w:val="clear" w:color="auto" w:fill="D9D9D9" w:themeFill="background1" w:themeFillShade="D9"/>
                  <w:vAlign w:val="center"/>
                </w:tcPr>
                <w:p w14:paraId="0E9DE273" w14:textId="77777777" w:rsidR="00825411" w:rsidRPr="00D70A30" w:rsidRDefault="00825411">
                  <w:pPr>
                    <w:pStyle w:val="Heading1"/>
                    <w:spacing w:before="0"/>
                    <w:jc w:val="center"/>
                    <w:rPr>
                      <w:rFonts w:asciiTheme="minorHAnsi" w:hAnsiTheme="minorHAnsi"/>
                      <w:color w:val="auto"/>
                      <w:sz w:val="13"/>
                      <w:szCs w:val="13"/>
                      <w:lang w:val="en-US"/>
                    </w:rPr>
                  </w:pPr>
                  <w:r w:rsidRPr="00D70A30">
                    <w:rPr>
                      <w:rFonts w:asciiTheme="minorHAnsi" w:hAnsiTheme="minorHAnsi"/>
                      <w:color w:val="auto"/>
                      <w:sz w:val="13"/>
                      <w:szCs w:val="13"/>
                      <w:lang w:val="en-US"/>
                    </w:rPr>
                    <w:t>Sep</w:t>
                  </w:r>
                </w:p>
              </w:tc>
              <w:tc>
                <w:tcPr>
                  <w:tcW w:w="650" w:type="dxa"/>
                  <w:shd w:val="clear" w:color="auto" w:fill="D9D9D9" w:themeFill="background1" w:themeFillShade="D9"/>
                  <w:vAlign w:val="center"/>
                </w:tcPr>
                <w:p w14:paraId="5A05020F" w14:textId="77777777" w:rsidR="00825411" w:rsidRPr="00D70A30" w:rsidRDefault="00825411">
                  <w:pPr>
                    <w:pStyle w:val="Heading1"/>
                    <w:spacing w:before="0"/>
                    <w:jc w:val="center"/>
                    <w:rPr>
                      <w:rFonts w:asciiTheme="minorHAnsi" w:hAnsiTheme="minorHAnsi"/>
                      <w:color w:val="auto"/>
                      <w:sz w:val="13"/>
                      <w:szCs w:val="13"/>
                      <w:lang w:val="en-US"/>
                    </w:rPr>
                  </w:pPr>
                  <w:r w:rsidRPr="00D70A30">
                    <w:rPr>
                      <w:rFonts w:asciiTheme="minorHAnsi" w:hAnsiTheme="minorHAnsi"/>
                      <w:color w:val="auto"/>
                      <w:sz w:val="13"/>
                      <w:szCs w:val="13"/>
                      <w:lang w:val="en-US"/>
                    </w:rPr>
                    <w:t>Oct</w:t>
                  </w:r>
                </w:p>
              </w:tc>
              <w:tc>
                <w:tcPr>
                  <w:tcW w:w="801" w:type="dxa"/>
                  <w:shd w:val="clear" w:color="auto" w:fill="D9D9D9" w:themeFill="background1" w:themeFillShade="D9"/>
                  <w:vAlign w:val="center"/>
                </w:tcPr>
                <w:p w14:paraId="0D2CE0B4" w14:textId="77777777" w:rsidR="00825411" w:rsidRPr="00D70A30" w:rsidRDefault="00825411">
                  <w:pPr>
                    <w:pStyle w:val="Heading1"/>
                    <w:spacing w:before="0"/>
                    <w:jc w:val="center"/>
                    <w:rPr>
                      <w:rFonts w:asciiTheme="minorHAnsi" w:hAnsiTheme="minorHAnsi"/>
                      <w:color w:val="auto"/>
                      <w:sz w:val="13"/>
                      <w:szCs w:val="13"/>
                      <w:lang w:val="en-US"/>
                    </w:rPr>
                  </w:pPr>
                  <w:r w:rsidRPr="00D70A30">
                    <w:rPr>
                      <w:rFonts w:asciiTheme="minorHAnsi" w:hAnsiTheme="minorHAnsi"/>
                      <w:color w:val="auto"/>
                      <w:sz w:val="13"/>
                      <w:szCs w:val="13"/>
                      <w:lang w:val="en-US"/>
                    </w:rPr>
                    <w:t>Nov</w:t>
                  </w:r>
                </w:p>
              </w:tc>
              <w:tc>
                <w:tcPr>
                  <w:tcW w:w="713" w:type="dxa"/>
                  <w:shd w:val="clear" w:color="auto" w:fill="D9D9D9" w:themeFill="background1" w:themeFillShade="D9"/>
                  <w:vAlign w:val="center"/>
                </w:tcPr>
                <w:p w14:paraId="0DB51869" w14:textId="77777777" w:rsidR="00825411" w:rsidRPr="00D70A30" w:rsidRDefault="00825411">
                  <w:pPr>
                    <w:pStyle w:val="Heading1"/>
                    <w:spacing w:before="0"/>
                    <w:jc w:val="center"/>
                    <w:rPr>
                      <w:rFonts w:asciiTheme="minorHAnsi" w:hAnsiTheme="minorHAnsi"/>
                      <w:color w:val="auto"/>
                      <w:sz w:val="13"/>
                      <w:szCs w:val="13"/>
                      <w:lang w:val="en-US"/>
                    </w:rPr>
                  </w:pPr>
                  <w:r w:rsidRPr="00D70A30">
                    <w:rPr>
                      <w:rFonts w:asciiTheme="minorHAnsi" w:hAnsiTheme="minorHAnsi"/>
                      <w:color w:val="auto"/>
                      <w:sz w:val="13"/>
                      <w:szCs w:val="13"/>
                      <w:lang w:val="en-US"/>
                    </w:rPr>
                    <w:t>Dec</w:t>
                  </w:r>
                </w:p>
              </w:tc>
              <w:tc>
                <w:tcPr>
                  <w:tcW w:w="857" w:type="dxa"/>
                  <w:shd w:val="clear" w:color="auto" w:fill="D9D9D9" w:themeFill="background1" w:themeFillShade="D9"/>
                  <w:vAlign w:val="center"/>
                </w:tcPr>
                <w:p w14:paraId="77761E67" w14:textId="77777777" w:rsidR="00825411" w:rsidRPr="00D70A30" w:rsidRDefault="00825411">
                  <w:pPr>
                    <w:pStyle w:val="Heading1"/>
                    <w:spacing w:before="0"/>
                    <w:jc w:val="center"/>
                    <w:rPr>
                      <w:rFonts w:asciiTheme="minorHAnsi" w:hAnsiTheme="minorHAnsi"/>
                      <w:color w:val="auto"/>
                      <w:sz w:val="13"/>
                      <w:szCs w:val="13"/>
                      <w:lang w:val="en-US"/>
                    </w:rPr>
                  </w:pPr>
                  <w:r w:rsidRPr="00D70A30">
                    <w:rPr>
                      <w:rFonts w:asciiTheme="minorHAnsi" w:hAnsiTheme="minorHAnsi"/>
                      <w:color w:val="auto"/>
                      <w:sz w:val="13"/>
                      <w:szCs w:val="13"/>
                      <w:lang w:val="en-US"/>
                    </w:rPr>
                    <w:t>YTD</w:t>
                  </w:r>
                </w:p>
              </w:tc>
            </w:tr>
            <w:tr w:rsidR="00825411" w:rsidRPr="00D70A30" w14:paraId="079F822F" w14:textId="77777777">
              <w:trPr>
                <w:trHeight w:val="38"/>
              </w:trPr>
              <w:tc>
                <w:tcPr>
                  <w:tcW w:w="534" w:type="dxa"/>
                  <w:shd w:val="clear" w:color="auto" w:fill="D9D9D9" w:themeFill="background1" w:themeFillShade="D9"/>
                  <w:vAlign w:val="center"/>
                </w:tcPr>
                <w:p w14:paraId="0BA62B3E" w14:textId="77777777" w:rsidR="00825411" w:rsidRPr="00D70A30" w:rsidRDefault="00825411">
                  <w:pPr>
                    <w:pStyle w:val="Heading1"/>
                    <w:spacing w:before="0"/>
                    <w:jc w:val="center"/>
                    <w:rPr>
                      <w:rFonts w:asciiTheme="minorHAnsi" w:hAnsiTheme="minorHAnsi"/>
                      <w:color w:val="auto"/>
                      <w:sz w:val="13"/>
                      <w:szCs w:val="13"/>
                      <w:lang w:val="en-US"/>
                    </w:rPr>
                  </w:pPr>
                  <w:r w:rsidRPr="00D70A30">
                    <w:rPr>
                      <w:rFonts w:asciiTheme="minorHAnsi" w:hAnsiTheme="minorHAnsi"/>
                      <w:color w:val="auto"/>
                      <w:sz w:val="13"/>
                      <w:szCs w:val="13"/>
                      <w:lang w:val="en-US"/>
                    </w:rPr>
                    <w:t>2013</w:t>
                  </w:r>
                </w:p>
              </w:tc>
              <w:tc>
                <w:tcPr>
                  <w:tcW w:w="767" w:type="dxa"/>
                  <w:vAlign w:val="center"/>
                </w:tcPr>
                <w:p w14:paraId="00D590A4" w14:textId="77777777" w:rsidR="00825411" w:rsidRPr="00D70A30" w:rsidRDefault="00825411">
                  <w:pPr>
                    <w:pStyle w:val="Heading1"/>
                    <w:spacing w:before="0"/>
                    <w:jc w:val="center"/>
                    <w:rPr>
                      <w:rFonts w:asciiTheme="minorHAnsi" w:hAnsiTheme="minorHAnsi"/>
                      <w:b w:val="0"/>
                      <w:color w:val="auto"/>
                      <w:sz w:val="13"/>
                      <w:szCs w:val="13"/>
                      <w:lang w:val="en-US"/>
                    </w:rPr>
                  </w:pPr>
                </w:p>
              </w:tc>
              <w:tc>
                <w:tcPr>
                  <w:tcW w:w="660" w:type="dxa"/>
                  <w:vAlign w:val="center"/>
                </w:tcPr>
                <w:p w14:paraId="1C1A9003" w14:textId="77777777" w:rsidR="00825411" w:rsidRPr="00D70A30" w:rsidRDefault="00825411">
                  <w:pPr>
                    <w:pStyle w:val="Heading1"/>
                    <w:spacing w:before="0"/>
                    <w:jc w:val="center"/>
                    <w:rPr>
                      <w:rFonts w:asciiTheme="minorHAnsi" w:hAnsiTheme="minorHAnsi"/>
                      <w:b w:val="0"/>
                      <w:color w:val="auto"/>
                      <w:sz w:val="13"/>
                      <w:szCs w:val="13"/>
                      <w:lang w:val="en-US"/>
                    </w:rPr>
                  </w:pPr>
                </w:p>
              </w:tc>
              <w:tc>
                <w:tcPr>
                  <w:tcW w:w="640" w:type="dxa"/>
                  <w:vAlign w:val="center"/>
                </w:tcPr>
                <w:p w14:paraId="421391EA" w14:textId="77777777" w:rsidR="00825411" w:rsidRPr="00D70A30" w:rsidRDefault="00825411">
                  <w:pPr>
                    <w:pStyle w:val="Heading1"/>
                    <w:spacing w:before="0"/>
                    <w:jc w:val="center"/>
                    <w:rPr>
                      <w:rFonts w:asciiTheme="minorHAnsi" w:hAnsiTheme="minorHAnsi"/>
                      <w:b w:val="0"/>
                      <w:color w:val="auto"/>
                      <w:sz w:val="13"/>
                      <w:szCs w:val="13"/>
                      <w:lang w:val="en-US"/>
                    </w:rPr>
                  </w:pPr>
                </w:p>
              </w:tc>
              <w:tc>
                <w:tcPr>
                  <w:tcW w:w="650" w:type="dxa"/>
                  <w:vAlign w:val="center"/>
                </w:tcPr>
                <w:p w14:paraId="03D1A6A6" w14:textId="77777777" w:rsidR="00825411" w:rsidRPr="00D70A30" w:rsidRDefault="00825411">
                  <w:pPr>
                    <w:pStyle w:val="Heading1"/>
                    <w:spacing w:before="0"/>
                    <w:jc w:val="center"/>
                    <w:rPr>
                      <w:rFonts w:asciiTheme="minorHAnsi" w:hAnsiTheme="minorHAnsi"/>
                      <w:b w:val="0"/>
                      <w:color w:val="auto"/>
                      <w:sz w:val="13"/>
                      <w:szCs w:val="13"/>
                      <w:lang w:val="en-US"/>
                    </w:rPr>
                  </w:pPr>
                </w:p>
              </w:tc>
              <w:tc>
                <w:tcPr>
                  <w:tcW w:w="650" w:type="dxa"/>
                  <w:vAlign w:val="center"/>
                </w:tcPr>
                <w:p w14:paraId="1CF2E800" w14:textId="77777777" w:rsidR="00825411" w:rsidRPr="00D70A30" w:rsidRDefault="00825411">
                  <w:pPr>
                    <w:pStyle w:val="Heading1"/>
                    <w:spacing w:before="0"/>
                    <w:jc w:val="center"/>
                    <w:rPr>
                      <w:rFonts w:asciiTheme="minorHAnsi" w:hAnsiTheme="minorHAnsi"/>
                      <w:b w:val="0"/>
                      <w:color w:val="auto"/>
                      <w:sz w:val="13"/>
                      <w:szCs w:val="13"/>
                      <w:lang w:val="en-US"/>
                    </w:rPr>
                  </w:pPr>
                </w:p>
              </w:tc>
              <w:tc>
                <w:tcPr>
                  <w:tcW w:w="650" w:type="dxa"/>
                  <w:vAlign w:val="center"/>
                </w:tcPr>
                <w:p w14:paraId="2DBB1C98"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-0.45%</w:t>
                  </w:r>
                </w:p>
              </w:tc>
              <w:tc>
                <w:tcPr>
                  <w:tcW w:w="650" w:type="dxa"/>
                  <w:vAlign w:val="center"/>
                </w:tcPr>
                <w:p w14:paraId="7E44CFD4"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3.76%</w:t>
                  </w:r>
                </w:p>
              </w:tc>
              <w:tc>
                <w:tcPr>
                  <w:tcW w:w="650" w:type="dxa"/>
                  <w:vAlign w:val="center"/>
                </w:tcPr>
                <w:p w14:paraId="30E5E556"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-1.26%</w:t>
                  </w:r>
                </w:p>
              </w:tc>
              <w:tc>
                <w:tcPr>
                  <w:tcW w:w="650" w:type="dxa"/>
                  <w:vAlign w:val="center"/>
                </w:tcPr>
                <w:p w14:paraId="7E9BEEAD"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3.13%</w:t>
                  </w:r>
                </w:p>
              </w:tc>
              <w:tc>
                <w:tcPr>
                  <w:tcW w:w="650" w:type="dxa"/>
                  <w:vAlign w:val="center"/>
                </w:tcPr>
                <w:p w14:paraId="3F206C44"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2.37%</w:t>
                  </w:r>
                </w:p>
              </w:tc>
              <w:tc>
                <w:tcPr>
                  <w:tcW w:w="801" w:type="dxa"/>
                  <w:vAlign w:val="center"/>
                </w:tcPr>
                <w:p w14:paraId="59E64BA3"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1.85%</w:t>
                  </w:r>
                </w:p>
              </w:tc>
              <w:tc>
                <w:tcPr>
                  <w:tcW w:w="713" w:type="dxa"/>
                  <w:vAlign w:val="center"/>
                </w:tcPr>
                <w:p w14:paraId="72F08B5F"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-0.45%</w:t>
                  </w:r>
                </w:p>
              </w:tc>
              <w:tc>
                <w:tcPr>
                  <w:tcW w:w="857" w:type="dxa"/>
                  <w:vAlign w:val="center"/>
                </w:tcPr>
                <w:p w14:paraId="111FAF94" w14:textId="77777777" w:rsidR="00825411" w:rsidRPr="00D70A30" w:rsidRDefault="00825411">
                  <w:pPr>
                    <w:pStyle w:val="Heading1"/>
                    <w:spacing w:before="0"/>
                    <w:jc w:val="center"/>
                    <w:rPr>
                      <w:rFonts w:asciiTheme="minorHAnsi" w:hAnsiTheme="minorHAnsi"/>
                      <w:color w:val="auto"/>
                      <w:sz w:val="13"/>
                      <w:szCs w:val="13"/>
                      <w:lang w:val="en-US"/>
                    </w:rPr>
                  </w:pPr>
                  <w:r w:rsidRPr="00D70A30">
                    <w:rPr>
                      <w:rFonts w:asciiTheme="minorHAnsi" w:hAnsiTheme="minorHAnsi"/>
                      <w:color w:val="auto"/>
                      <w:sz w:val="13"/>
                      <w:szCs w:val="13"/>
                      <w:lang w:val="en-US"/>
                    </w:rPr>
                    <w:t>9.18%</w:t>
                  </w:r>
                </w:p>
              </w:tc>
            </w:tr>
            <w:tr w:rsidR="00825411" w:rsidRPr="00D70A30" w14:paraId="134F5427" w14:textId="77777777">
              <w:trPr>
                <w:trHeight w:val="38"/>
              </w:trPr>
              <w:tc>
                <w:tcPr>
                  <w:tcW w:w="534" w:type="dxa"/>
                  <w:shd w:val="clear" w:color="auto" w:fill="D9D9D9" w:themeFill="background1" w:themeFillShade="D9"/>
                  <w:vAlign w:val="center"/>
                </w:tcPr>
                <w:p w14:paraId="0D51E825" w14:textId="77777777" w:rsidR="00825411" w:rsidRPr="00D70A30" w:rsidRDefault="00825411">
                  <w:pPr>
                    <w:pStyle w:val="Heading1"/>
                    <w:spacing w:before="0"/>
                    <w:jc w:val="center"/>
                    <w:rPr>
                      <w:rFonts w:asciiTheme="minorHAnsi" w:hAnsiTheme="minorHAnsi"/>
                      <w:color w:val="auto"/>
                      <w:sz w:val="13"/>
                      <w:szCs w:val="13"/>
                      <w:lang w:val="en-US"/>
                    </w:rPr>
                  </w:pPr>
                  <w:r w:rsidRPr="00D70A30">
                    <w:rPr>
                      <w:rFonts w:asciiTheme="minorHAnsi" w:hAnsiTheme="minorHAnsi"/>
                      <w:color w:val="auto"/>
                      <w:sz w:val="13"/>
                      <w:szCs w:val="13"/>
                      <w:lang w:val="en-US"/>
                    </w:rPr>
                    <w:t>2014</w:t>
                  </w:r>
                </w:p>
              </w:tc>
              <w:tc>
                <w:tcPr>
                  <w:tcW w:w="767" w:type="dxa"/>
                  <w:vAlign w:val="center"/>
                </w:tcPr>
                <w:p w14:paraId="1A438738"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-2.29%</w:t>
                  </w:r>
                </w:p>
              </w:tc>
              <w:tc>
                <w:tcPr>
                  <w:tcW w:w="660" w:type="dxa"/>
                  <w:vAlign w:val="center"/>
                </w:tcPr>
                <w:p w14:paraId="2BA73687"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3.09%</w:t>
                  </w:r>
                </w:p>
              </w:tc>
              <w:tc>
                <w:tcPr>
                  <w:tcW w:w="640" w:type="dxa"/>
                  <w:vAlign w:val="center"/>
                </w:tcPr>
                <w:p w14:paraId="48E3A1F3"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0.73%</w:t>
                  </w:r>
                </w:p>
              </w:tc>
              <w:tc>
                <w:tcPr>
                  <w:tcW w:w="650" w:type="dxa"/>
                  <w:vAlign w:val="center"/>
                </w:tcPr>
                <w:p w14:paraId="5FC8B700"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1.53%</w:t>
                  </w:r>
                </w:p>
              </w:tc>
              <w:tc>
                <w:tcPr>
                  <w:tcW w:w="650" w:type="dxa"/>
                  <w:vAlign w:val="center"/>
                </w:tcPr>
                <w:p w14:paraId="32215F08"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2.66%</w:t>
                  </w:r>
                </w:p>
              </w:tc>
              <w:tc>
                <w:tcPr>
                  <w:tcW w:w="650" w:type="dxa"/>
                  <w:vAlign w:val="center"/>
                </w:tcPr>
                <w:p w14:paraId="45477C30"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0.43%</w:t>
                  </w:r>
                </w:p>
              </w:tc>
              <w:tc>
                <w:tcPr>
                  <w:tcW w:w="650" w:type="dxa"/>
                  <w:vAlign w:val="center"/>
                </w:tcPr>
                <w:p w14:paraId="627425D0"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-1.12%</w:t>
                  </w:r>
                </w:p>
              </w:tc>
              <w:tc>
                <w:tcPr>
                  <w:tcW w:w="650" w:type="dxa"/>
                  <w:vAlign w:val="center"/>
                </w:tcPr>
                <w:p w14:paraId="1CDB7761"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1.13%</w:t>
                  </w:r>
                </w:p>
              </w:tc>
              <w:tc>
                <w:tcPr>
                  <w:tcW w:w="650" w:type="dxa"/>
                  <w:vAlign w:val="center"/>
                </w:tcPr>
                <w:p w14:paraId="2A7F7D69"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0.95%</w:t>
                  </w:r>
                </w:p>
              </w:tc>
              <w:tc>
                <w:tcPr>
                  <w:tcW w:w="650" w:type="dxa"/>
                  <w:vAlign w:val="center"/>
                </w:tcPr>
                <w:p w14:paraId="77FAEF52"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-0.60%</w:t>
                  </w:r>
                </w:p>
              </w:tc>
              <w:tc>
                <w:tcPr>
                  <w:tcW w:w="801" w:type="dxa"/>
                  <w:vAlign w:val="center"/>
                </w:tcPr>
                <w:p w14:paraId="70BC163F"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6.09%</w:t>
                  </w:r>
                </w:p>
              </w:tc>
              <w:tc>
                <w:tcPr>
                  <w:tcW w:w="713" w:type="dxa"/>
                  <w:vAlign w:val="center"/>
                </w:tcPr>
                <w:p w14:paraId="7AAE59A8"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-2.26%</w:t>
                  </w:r>
                </w:p>
              </w:tc>
              <w:tc>
                <w:tcPr>
                  <w:tcW w:w="857" w:type="dxa"/>
                  <w:vAlign w:val="center"/>
                </w:tcPr>
                <w:p w14:paraId="0DB27C18" w14:textId="77777777" w:rsidR="00825411" w:rsidRPr="00D70A30" w:rsidRDefault="00825411">
                  <w:pPr>
                    <w:pStyle w:val="Heading1"/>
                    <w:spacing w:before="0"/>
                    <w:jc w:val="center"/>
                    <w:rPr>
                      <w:rFonts w:asciiTheme="minorHAnsi" w:hAnsiTheme="minorHAnsi"/>
                      <w:color w:val="auto"/>
                      <w:sz w:val="13"/>
                      <w:szCs w:val="13"/>
                      <w:lang w:val="en-US"/>
                    </w:rPr>
                  </w:pPr>
                  <w:r w:rsidRPr="00D70A30">
                    <w:rPr>
                      <w:rFonts w:asciiTheme="minorHAnsi" w:hAnsiTheme="minorHAnsi"/>
                      <w:color w:val="auto"/>
                      <w:sz w:val="13"/>
                      <w:szCs w:val="13"/>
                      <w:lang w:val="en-US"/>
                    </w:rPr>
                    <w:t>10.52%</w:t>
                  </w:r>
                </w:p>
              </w:tc>
            </w:tr>
            <w:tr w:rsidR="00825411" w:rsidRPr="00D70A30" w14:paraId="15BC7246" w14:textId="77777777">
              <w:trPr>
                <w:trHeight w:val="38"/>
              </w:trPr>
              <w:tc>
                <w:tcPr>
                  <w:tcW w:w="534" w:type="dxa"/>
                  <w:shd w:val="clear" w:color="auto" w:fill="D9D9D9" w:themeFill="background1" w:themeFillShade="D9"/>
                  <w:vAlign w:val="center"/>
                </w:tcPr>
                <w:p w14:paraId="655C0ED1" w14:textId="77777777" w:rsidR="00825411" w:rsidRPr="00D70A30" w:rsidRDefault="00825411">
                  <w:pPr>
                    <w:pStyle w:val="Heading1"/>
                    <w:spacing w:before="0"/>
                    <w:jc w:val="center"/>
                    <w:rPr>
                      <w:rFonts w:asciiTheme="minorHAnsi" w:hAnsiTheme="minorHAnsi"/>
                      <w:color w:val="auto"/>
                      <w:sz w:val="13"/>
                      <w:szCs w:val="13"/>
                      <w:lang w:val="en-US"/>
                    </w:rPr>
                  </w:pPr>
                  <w:r w:rsidRPr="00D70A30">
                    <w:rPr>
                      <w:rFonts w:asciiTheme="minorHAnsi" w:hAnsiTheme="minorHAnsi"/>
                      <w:color w:val="auto"/>
                      <w:sz w:val="13"/>
                      <w:szCs w:val="13"/>
                      <w:lang w:val="en-US"/>
                    </w:rPr>
                    <w:t>2015</w:t>
                  </w:r>
                </w:p>
              </w:tc>
              <w:tc>
                <w:tcPr>
                  <w:tcW w:w="767" w:type="dxa"/>
                  <w:vAlign w:val="center"/>
                </w:tcPr>
                <w:p w14:paraId="17B1600A"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7.71%</w:t>
                  </w:r>
                </w:p>
              </w:tc>
              <w:tc>
                <w:tcPr>
                  <w:tcW w:w="660" w:type="dxa"/>
                  <w:vAlign w:val="center"/>
                </w:tcPr>
                <w:p w14:paraId="0ABE19A2"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0.77%</w:t>
                  </w:r>
                </w:p>
              </w:tc>
              <w:tc>
                <w:tcPr>
                  <w:tcW w:w="640" w:type="dxa"/>
                  <w:vAlign w:val="center"/>
                </w:tcPr>
                <w:p w14:paraId="39E9FF98"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5.42%</w:t>
                  </w:r>
                </w:p>
              </w:tc>
              <w:tc>
                <w:tcPr>
                  <w:tcW w:w="650" w:type="dxa"/>
                  <w:vAlign w:val="center"/>
                </w:tcPr>
                <w:p w14:paraId="60FF3658"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2.75%</w:t>
                  </w:r>
                </w:p>
              </w:tc>
              <w:tc>
                <w:tcPr>
                  <w:tcW w:w="650" w:type="dxa"/>
                  <w:vAlign w:val="center"/>
                </w:tcPr>
                <w:p w14:paraId="39D4BCCA"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-1.34%</w:t>
                  </w:r>
                </w:p>
              </w:tc>
              <w:tc>
                <w:tcPr>
                  <w:tcW w:w="650" w:type="dxa"/>
                  <w:vAlign w:val="center"/>
                </w:tcPr>
                <w:p w14:paraId="315B5DA9"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-4.10%</w:t>
                  </w:r>
                </w:p>
              </w:tc>
              <w:tc>
                <w:tcPr>
                  <w:tcW w:w="650" w:type="dxa"/>
                  <w:vAlign w:val="center"/>
                </w:tcPr>
                <w:p w14:paraId="1924F2CA"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3.76%</w:t>
                  </w:r>
                </w:p>
              </w:tc>
              <w:tc>
                <w:tcPr>
                  <w:tcW w:w="650" w:type="dxa"/>
                  <w:vAlign w:val="center"/>
                </w:tcPr>
                <w:p w14:paraId="3982F36B"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-8.30%</w:t>
                  </w:r>
                </w:p>
              </w:tc>
              <w:tc>
                <w:tcPr>
                  <w:tcW w:w="650" w:type="dxa"/>
                  <w:vAlign w:val="center"/>
                </w:tcPr>
                <w:p w14:paraId="6FC12703"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-0.70%</w:t>
                  </w:r>
                </w:p>
              </w:tc>
              <w:tc>
                <w:tcPr>
                  <w:tcW w:w="650" w:type="dxa"/>
                  <w:vAlign w:val="center"/>
                </w:tcPr>
                <w:p w14:paraId="60028171"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3.59%</w:t>
                  </w:r>
                </w:p>
              </w:tc>
              <w:tc>
                <w:tcPr>
                  <w:tcW w:w="801" w:type="dxa"/>
                  <w:vAlign w:val="center"/>
                </w:tcPr>
                <w:p w14:paraId="5B2CC6DB"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1.96%</w:t>
                  </w:r>
                </w:p>
              </w:tc>
              <w:tc>
                <w:tcPr>
                  <w:tcW w:w="713" w:type="dxa"/>
                  <w:vAlign w:val="center"/>
                </w:tcPr>
                <w:p w14:paraId="5FD5B498"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-3.47%</w:t>
                  </w:r>
                </w:p>
              </w:tc>
              <w:tc>
                <w:tcPr>
                  <w:tcW w:w="857" w:type="dxa"/>
                  <w:vAlign w:val="center"/>
                </w:tcPr>
                <w:p w14:paraId="247E20C9" w14:textId="77777777" w:rsidR="00825411" w:rsidRPr="00D70A30" w:rsidRDefault="00825411">
                  <w:pPr>
                    <w:pStyle w:val="Heading1"/>
                    <w:spacing w:before="0"/>
                    <w:jc w:val="center"/>
                    <w:rPr>
                      <w:rFonts w:asciiTheme="minorHAnsi" w:hAnsiTheme="minorHAnsi"/>
                      <w:color w:val="auto"/>
                      <w:sz w:val="13"/>
                      <w:szCs w:val="13"/>
                      <w:lang w:val="en-US"/>
                    </w:rPr>
                  </w:pPr>
                  <w:r w:rsidRPr="00D70A30">
                    <w:rPr>
                      <w:rFonts w:asciiTheme="minorHAnsi" w:hAnsiTheme="minorHAnsi"/>
                      <w:color w:val="auto"/>
                      <w:sz w:val="13"/>
                      <w:szCs w:val="13"/>
                      <w:lang w:val="en-US"/>
                    </w:rPr>
                    <w:t>8.19%</w:t>
                  </w:r>
                </w:p>
              </w:tc>
            </w:tr>
            <w:tr w:rsidR="00825411" w:rsidRPr="00D70A30" w14:paraId="191AEEB6" w14:textId="77777777">
              <w:trPr>
                <w:trHeight w:val="38"/>
              </w:trPr>
              <w:tc>
                <w:tcPr>
                  <w:tcW w:w="534" w:type="dxa"/>
                  <w:shd w:val="clear" w:color="auto" w:fill="D9D9D9" w:themeFill="background1" w:themeFillShade="D9"/>
                  <w:vAlign w:val="center"/>
                </w:tcPr>
                <w:p w14:paraId="7978A431" w14:textId="77777777" w:rsidR="00825411" w:rsidRPr="00D70A30" w:rsidRDefault="00825411">
                  <w:pPr>
                    <w:pStyle w:val="Heading1"/>
                    <w:spacing w:before="0"/>
                    <w:jc w:val="center"/>
                    <w:rPr>
                      <w:rFonts w:asciiTheme="minorHAnsi" w:hAnsiTheme="minorHAnsi"/>
                      <w:color w:val="auto"/>
                      <w:sz w:val="13"/>
                      <w:szCs w:val="13"/>
                      <w:lang w:val="en-US"/>
                    </w:rPr>
                  </w:pPr>
                  <w:r w:rsidRPr="00D70A30">
                    <w:rPr>
                      <w:rFonts w:asciiTheme="minorHAnsi" w:hAnsiTheme="minorHAnsi"/>
                      <w:color w:val="auto"/>
                      <w:sz w:val="13"/>
                      <w:szCs w:val="13"/>
                      <w:lang w:val="en-US"/>
                    </w:rPr>
                    <w:t>2016</w:t>
                  </w:r>
                </w:p>
              </w:tc>
              <w:tc>
                <w:tcPr>
                  <w:tcW w:w="767" w:type="dxa"/>
                  <w:vAlign w:val="center"/>
                </w:tcPr>
                <w:p w14:paraId="243FF7EB"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-4.97%</w:t>
                  </w:r>
                </w:p>
              </w:tc>
              <w:tc>
                <w:tcPr>
                  <w:tcW w:w="660" w:type="dxa"/>
                  <w:vAlign w:val="center"/>
                </w:tcPr>
                <w:p w14:paraId="4516BF9F"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-1.93%</w:t>
                  </w:r>
                </w:p>
              </w:tc>
              <w:tc>
                <w:tcPr>
                  <w:tcW w:w="640" w:type="dxa"/>
                  <w:vAlign w:val="center"/>
                </w:tcPr>
                <w:p w14:paraId="14C21B05"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1.56%</w:t>
                  </w:r>
                </w:p>
              </w:tc>
              <w:tc>
                <w:tcPr>
                  <w:tcW w:w="650" w:type="dxa"/>
                  <w:vAlign w:val="center"/>
                </w:tcPr>
                <w:p w14:paraId="759343A3"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1.94%</w:t>
                  </w:r>
                </w:p>
              </w:tc>
              <w:tc>
                <w:tcPr>
                  <w:tcW w:w="650" w:type="dxa"/>
                  <w:vAlign w:val="center"/>
                </w:tcPr>
                <w:p w14:paraId="2D96C697"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2.69%</w:t>
                  </w:r>
                </w:p>
              </w:tc>
              <w:tc>
                <w:tcPr>
                  <w:tcW w:w="650" w:type="dxa"/>
                  <w:vAlign w:val="center"/>
                </w:tcPr>
                <w:p w14:paraId="0C4D6ACC"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1.36%</w:t>
                  </w:r>
                </w:p>
              </w:tc>
              <w:tc>
                <w:tcPr>
                  <w:tcW w:w="650" w:type="dxa"/>
                  <w:vAlign w:val="center"/>
                </w:tcPr>
                <w:p w14:paraId="1106C2B8"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0.22%</w:t>
                  </w:r>
                </w:p>
              </w:tc>
              <w:tc>
                <w:tcPr>
                  <w:tcW w:w="650" w:type="dxa"/>
                  <w:vAlign w:val="center"/>
                </w:tcPr>
                <w:p w14:paraId="4B68BF92"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-1.65%</w:t>
                  </w:r>
                </w:p>
              </w:tc>
              <w:tc>
                <w:tcPr>
                  <w:tcW w:w="650" w:type="dxa"/>
                  <w:vAlign w:val="center"/>
                </w:tcPr>
                <w:p w14:paraId="0C8A1CC2"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0.46%</w:t>
                  </w:r>
                </w:p>
              </w:tc>
              <w:tc>
                <w:tcPr>
                  <w:tcW w:w="650" w:type="dxa"/>
                  <w:vAlign w:val="center"/>
                </w:tcPr>
                <w:p w14:paraId="297DF45A"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-1.04%</w:t>
                  </w:r>
                </w:p>
              </w:tc>
              <w:tc>
                <w:tcPr>
                  <w:tcW w:w="801" w:type="dxa"/>
                  <w:vAlign w:val="center"/>
                </w:tcPr>
                <w:p w14:paraId="6013EB2C"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-1.31%</w:t>
                  </w:r>
                </w:p>
              </w:tc>
              <w:tc>
                <w:tcPr>
                  <w:tcW w:w="713" w:type="dxa"/>
                  <w:vAlign w:val="center"/>
                </w:tcPr>
                <w:p w14:paraId="7731E5F3"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5.31%</w:t>
                  </w:r>
                </w:p>
              </w:tc>
              <w:tc>
                <w:tcPr>
                  <w:tcW w:w="857" w:type="dxa"/>
                  <w:vAlign w:val="center"/>
                </w:tcPr>
                <w:p w14:paraId="504F9BDB" w14:textId="77777777" w:rsidR="00825411" w:rsidRPr="00D70A30" w:rsidRDefault="00825411">
                  <w:pPr>
                    <w:pStyle w:val="Heading1"/>
                    <w:spacing w:before="0"/>
                    <w:jc w:val="center"/>
                    <w:rPr>
                      <w:rFonts w:asciiTheme="minorHAnsi" w:hAnsiTheme="minorHAnsi"/>
                      <w:color w:val="auto"/>
                      <w:sz w:val="13"/>
                      <w:szCs w:val="13"/>
                      <w:lang w:val="en-US"/>
                    </w:rPr>
                  </w:pPr>
                  <w:r w:rsidRPr="00D70A30">
                    <w:rPr>
                      <w:rFonts w:asciiTheme="minorHAnsi" w:hAnsiTheme="minorHAnsi"/>
                      <w:color w:val="auto"/>
                      <w:sz w:val="13"/>
                      <w:szCs w:val="13"/>
                      <w:lang w:val="en-US"/>
                    </w:rPr>
                    <w:t>2.29%</w:t>
                  </w:r>
                </w:p>
              </w:tc>
            </w:tr>
            <w:tr w:rsidR="00825411" w:rsidRPr="00D70A30" w14:paraId="46E76559" w14:textId="77777777">
              <w:trPr>
                <w:trHeight w:val="38"/>
              </w:trPr>
              <w:tc>
                <w:tcPr>
                  <w:tcW w:w="534" w:type="dxa"/>
                  <w:shd w:val="clear" w:color="auto" w:fill="D9D9D9" w:themeFill="background1" w:themeFillShade="D9"/>
                  <w:vAlign w:val="center"/>
                </w:tcPr>
                <w:p w14:paraId="394480E7" w14:textId="77777777" w:rsidR="00825411" w:rsidRPr="00D70A30" w:rsidRDefault="00825411">
                  <w:pPr>
                    <w:pStyle w:val="Heading1"/>
                    <w:spacing w:before="0"/>
                    <w:jc w:val="center"/>
                    <w:rPr>
                      <w:rFonts w:asciiTheme="minorHAnsi" w:hAnsiTheme="minorHAnsi"/>
                      <w:color w:val="auto"/>
                      <w:sz w:val="13"/>
                      <w:szCs w:val="13"/>
                      <w:lang w:val="en-US"/>
                    </w:rPr>
                  </w:pPr>
                  <w:r w:rsidRPr="00D70A30">
                    <w:rPr>
                      <w:rFonts w:asciiTheme="minorHAnsi" w:hAnsiTheme="minorHAnsi"/>
                      <w:color w:val="auto"/>
                      <w:sz w:val="13"/>
                      <w:szCs w:val="13"/>
                      <w:lang w:val="en-US"/>
                    </w:rPr>
                    <w:t>2017</w:t>
                  </w:r>
                </w:p>
              </w:tc>
              <w:tc>
                <w:tcPr>
                  <w:tcW w:w="767" w:type="dxa"/>
                  <w:vAlign w:val="center"/>
                </w:tcPr>
                <w:p w14:paraId="1411EE05"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-0.31%</w:t>
                  </w:r>
                </w:p>
              </w:tc>
              <w:tc>
                <w:tcPr>
                  <w:tcW w:w="660" w:type="dxa"/>
                  <w:vAlign w:val="center"/>
                </w:tcPr>
                <w:p w14:paraId="0EE4EFF7"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2.65%</w:t>
                  </w:r>
                </w:p>
              </w:tc>
              <w:tc>
                <w:tcPr>
                  <w:tcW w:w="640" w:type="dxa"/>
                  <w:vAlign w:val="center"/>
                </w:tcPr>
                <w:p w14:paraId="7FD68868"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2.99%</w:t>
                  </w:r>
                </w:p>
              </w:tc>
              <w:tc>
                <w:tcPr>
                  <w:tcW w:w="650" w:type="dxa"/>
                  <w:vAlign w:val="center"/>
                </w:tcPr>
                <w:p w14:paraId="643BE807"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0.94%</w:t>
                  </w:r>
                </w:p>
              </w:tc>
              <w:tc>
                <w:tcPr>
                  <w:tcW w:w="650" w:type="dxa"/>
                  <w:vAlign w:val="center"/>
                </w:tcPr>
                <w:p w14:paraId="69414442"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1.65%</w:t>
                  </w:r>
                </w:p>
              </w:tc>
              <w:tc>
                <w:tcPr>
                  <w:tcW w:w="650" w:type="dxa"/>
                  <w:vAlign w:val="center"/>
                </w:tcPr>
                <w:p w14:paraId="07E49184"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-2.27%</w:t>
                  </w:r>
                </w:p>
              </w:tc>
              <w:tc>
                <w:tcPr>
                  <w:tcW w:w="650" w:type="dxa"/>
                  <w:vAlign w:val="center"/>
                </w:tcPr>
                <w:p w14:paraId="66AF19E4"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-1.10%</w:t>
                  </w:r>
                </w:p>
              </w:tc>
              <w:tc>
                <w:tcPr>
                  <w:tcW w:w="650" w:type="dxa"/>
                  <w:vAlign w:val="center"/>
                </w:tcPr>
                <w:p w14:paraId="66812EB8"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0.06%</w:t>
                  </w:r>
                </w:p>
              </w:tc>
              <w:tc>
                <w:tcPr>
                  <w:tcW w:w="650" w:type="dxa"/>
                  <w:vAlign w:val="center"/>
                </w:tcPr>
                <w:p w14:paraId="04EA4275"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1.39%</w:t>
                  </w:r>
                </w:p>
              </w:tc>
              <w:tc>
                <w:tcPr>
                  <w:tcW w:w="650" w:type="dxa"/>
                  <w:vAlign w:val="center"/>
                </w:tcPr>
                <w:p w14:paraId="2A042E6A"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2.23%</w:t>
                  </w:r>
                </w:p>
              </w:tc>
              <w:tc>
                <w:tcPr>
                  <w:tcW w:w="801" w:type="dxa"/>
                  <w:vAlign w:val="center"/>
                </w:tcPr>
                <w:p w14:paraId="7D755CEA"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0.23%</w:t>
                  </w:r>
                </w:p>
              </w:tc>
              <w:tc>
                <w:tcPr>
                  <w:tcW w:w="713" w:type="dxa"/>
                  <w:vAlign w:val="center"/>
                </w:tcPr>
                <w:p w14:paraId="1A7A76FE"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-0.56%</w:t>
                  </w:r>
                </w:p>
              </w:tc>
              <w:tc>
                <w:tcPr>
                  <w:tcW w:w="857" w:type="dxa"/>
                  <w:vAlign w:val="center"/>
                </w:tcPr>
                <w:p w14:paraId="6733BD05" w14:textId="77777777" w:rsidR="00825411" w:rsidRPr="00D70A30" w:rsidRDefault="00825411">
                  <w:pPr>
                    <w:pStyle w:val="Heading1"/>
                    <w:spacing w:before="0"/>
                    <w:jc w:val="center"/>
                    <w:rPr>
                      <w:rFonts w:asciiTheme="minorHAnsi" w:hAnsiTheme="minorHAnsi"/>
                      <w:color w:val="auto"/>
                      <w:sz w:val="13"/>
                      <w:szCs w:val="13"/>
                      <w:lang w:val="en-US"/>
                    </w:rPr>
                  </w:pPr>
                  <w:r w:rsidRPr="00D70A30">
                    <w:rPr>
                      <w:rFonts w:asciiTheme="minorHAnsi" w:hAnsiTheme="minorHAnsi"/>
                      <w:color w:val="auto"/>
                      <w:sz w:val="13"/>
                      <w:szCs w:val="13"/>
                      <w:lang w:val="en-US"/>
                    </w:rPr>
                    <w:t>8.03%</w:t>
                  </w:r>
                </w:p>
              </w:tc>
            </w:tr>
            <w:tr w:rsidR="00825411" w:rsidRPr="00D70A30" w14:paraId="3A5E451F" w14:textId="77777777">
              <w:trPr>
                <w:trHeight w:val="38"/>
              </w:trPr>
              <w:tc>
                <w:tcPr>
                  <w:tcW w:w="534" w:type="dxa"/>
                  <w:shd w:val="clear" w:color="auto" w:fill="D9D9D9" w:themeFill="background1" w:themeFillShade="D9"/>
                  <w:vAlign w:val="center"/>
                </w:tcPr>
                <w:p w14:paraId="3627DCD3" w14:textId="77777777" w:rsidR="00825411" w:rsidRPr="00D70A30" w:rsidRDefault="00825411">
                  <w:pPr>
                    <w:pStyle w:val="Heading1"/>
                    <w:spacing w:before="0"/>
                    <w:jc w:val="center"/>
                    <w:rPr>
                      <w:rFonts w:asciiTheme="minorHAnsi" w:hAnsiTheme="minorHAnsi"/>
                      <w:color w:val="auto"/>
                      <w:sz w:val="13"/>
                      <w:szCs w:val="13"/>
                      <w:lang w:val="en-US"/>
                    </w:rPr>
                  </w:pPr>
                  <w:r w:rsidRPr="00D70A30">
                    <w:rPr>
                      <w:rFonts w:asciiTheme="minorHAnsi" w:hAnsiTheme="minorHAnsi"/>
                      <w:color w:val="auto"/>
                      <w:sz w:val="13"/>
                      <w:szCs w:val="13"/>
                      <w:lang w:val="en-US"/>
                    </w:rPr>
                    <w:t>2018</w:t>
                  </w:r>
                </w:p>
              </w:tc>
              <w:tc>
                <w:tcPr>
                  <w:tcW w:w="767" w:type="dxa"/>
                  <w:vAlign w:val="center"/>
                </w:tcPr>
                <w:p w14:paraId="324F6E29"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0.53%</w:t>
                  </w:r>
                </w:p>
              </w:tc>
              <w:tc>
                <w:tcPr>
                  <w:tcW w:w="660" w:type="dxa"/>
                  <w:vAlign w:val="center"/>
                </w:tcPr>
                <w:p w14:paraId="2C41D6C4"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-2.94%</w:t>
                  </w:r>
                </w:p>
              </w:tc>
              <w:tc>
                <w:tcPr>
                  <w:tcW w:w="640" w:type="dxa"/>
                  <w:vAlign w:val="center"/>
                </w:tcPr>
                <w:p w14:paraId="74D8D5B2"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-1.78%</w:t>
                  </w:r>
                </w:p>
              </w:tc>
              <w:tc>
                <w:tcPr>
                  <w:tcW w:w="650" w:type="dxa"/>
                  <w:vAlign w:val="center"/>
                </w:tcPr>
                <w:p w14:paraId="3D8B0C38"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3.40%</w:t>
                  </w:r>
                </w:p>
              </w:tc>
              <w:tc>
                <w:tcPr>
                  <w:tcW w:w="650" w:type="dxa"/>
                  <w:vAlign w:val="center"/>
                </w:tcPr>
                <w:p w14:paraId="1A60923E"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-0.54%</w:t>
                  </w:r>
                </w:p>
              </w:tc>
              <w:tc>
                <w:tcPr>
                  <w:tcW w:w="650" w:type="dxa"/>
                  <w:vAlign w:val="center"/>
                </w:tcPr>
                <w:p w14:paraId="05D71C75"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-0.22%</w:t>
                  </w:r>
                </w:p>
              </w:tc>
              <w:tc>
                <w:tcPr>
                  <w:tcW w:w="650" w:type="dxa"/>
                  <w:vAlign w:val="center"/>
                </w:tcPr>
                <w:p w14:paraId="286B765E"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4.12%</w:t>
                  </w:r>
                </w:p>
              </w:tc>
              <w:tc>
                <w:tcPr>
                  <w:tcW w:w="650" w:type="dxa"/>
                  <w:vAlign w:val="center"/>
                </w:tcPr>
                <w:p w14:paraId="3DA8C106"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0.10%</w:t>
                  </w:r>
                </w:p>
              </w:tc>
              <w:tc>
                <w:tcPr>
                  <w:tcW w:w="650" w:type="dxa"/>
                  <w:vAlign w:val="center"/>
                </w:tcPr>
                <w:p w14:paraId="0E01EAF5"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0.30%</w:t>
                  </w:r>
                </w:p>
              </w:tc>
              <w:tc>
                <w:tcPr>
                  <w:tcW w:w="650" w:type="dxa"/>
                  <w:vAlign w:val="center"/>
                </w:tcPr>
                <w:p w14:paraId="7A9F826E"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-6.18%</w:t>
                  </w:r>
                </w:p>
              </w:tc>
              <w:tc>
                <w:tcPr>
                  <w:tcW w:w="801" w:type="dxa"/>
                  <w:vAlign w:val="center"/>
                </w:tcPr>
                <w:p w14:paraId="545BB676"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-0.31%</w:t>
                  </w:r>
                </w:p>
              </w:tc>
              <w:tc>
                <w:tcPr>
                  <w:tcW w:w="713" w:type="dxa"/>
                  <w:vAlign w:val="center"/>
                </w:tcPr>
                <w:p w14:paraId="5D73BA7C"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-8.12%</w:t>
                  </w:r>
                </w:p>
              </w:tc>
              <w:tc>
                <w:tcPr>
                  <w:tcW w:w="857" w:type="dxa"/>
                  <w:vAlign w:val="center"/>
                </w:tcPr>
                <w:p w14:paraId="3BC61D49" w14:textId="77777777" w:rsidR="00825411" w:rsidRPr="00D70A30" w:rsidRDefault="00825411">
                  <w:pPr>
                    <w:pStyle w:val="Heading1"/>
                    <w:spacing w:before="0"/>
                    <w:jc w:val="center"/>
                    <w:rPr>
                      <w:rFonts w:asciiTheme="minorHAnsi" w:hAnsiTheme="minorHAnsi"/>
                      <w:color w:val="auto"/>
                      <w:sz w:val="13"/>
                      <w:szCs w:val="13"/>
                      <w:lang w:val="en-US"/>
                    </w:rPr>
                  </w:pPr>
                  <w:r w:rsidRPr="00D70A30">
                    <w:rPr>
                      <w:rFonts w:asciiTheme="minorHAnsi" w:hAnsiTheme="minorHAnsi"/>
                      <w:color w:val="auto"/>
                      <w:sz w:val="13"/>
                      <w:szCs w:val="13"/>
                      <w:lang w:val="en-US"/>
                    </w:rPr>
                    <w:t>-12.91%</w:t>
                  </w:r>
                </w:p>
              </w:tc>
            </w:tr>
            <w:tr w:rsidR="00825411" w:rsidRPr="00D70A30" w14:paraId="59FBA48C" w14:textId="77777777">
              <w:trPr>
                <w:trHeight w:val="38"/>
              </w:trPr>
              <w:tc>
                <w:tcPr>
                  <w:tcW w:w="534" w:type="dxa"/>
                  <w:shd w:val="clear" w:color="auto" w:fill="D9D9D9" w:themeFill="background1" w:themeFillShade="D9"/>
                  <w:vAlign w:val="center"/>
                </w:tcPr>
                <w:p w14:paraId="4D8E9AAA" w14:textId="77777777" w:rsidR="00825411" w:rsidRPr="00D70A30" w:rsidRDefault="00825411">
                  <w:pPr>
                    <w:pStyle w:val="Heading1"/>
                    <w:spacing w:before="0"/>
                    <w:jc w:val="center"/>
                    <w:rPr>
                      <w:rFonts w:asciiTheme="minorHAnsi" w:hAnsiTheme="minorHAnsi"/>
                      <w:color w:val="auto"/>
                      <w:sz w:val="13"/>
                      <w:szCs w:val="13"/>
                      <w:lang w:val="en-US"/>
                    </w:rPr>
                  </w:pPr>
                  <w:r w:rsidRPr="00D70A30">
                    <w:rPr>
                      <w:rFonts w:asciiTheme="minorHAnsi" w:hAnsiTheme="minorHAnsi"/>
                      <w:color w:val="auto"/>
                      <w:sz w:val="13"/>
                      <w:szCs w:val="13"/>
                      <w:lang w:val="en-US"/>
                    </w:rPr>
                    <w:t>2019</w:t>
                  </w:r>
                </w:p>
              </w:tc>
              <w:tc>
                <w:tcPr>
                  <w:tcW w:w="767" w:type="dxa"/>
                  <w:vAlign w:val="center"/>
                </w:tcPr>
                <w:p w14:paraId="72D054E1"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6.88%</w:t>
                  </w:r>
                </w:p>
              </w:tc>
              <w:tc>
                <w:tcPr>
                  <w:tcW w:w="660" w:type="dxa"/>
                  <w:vAlign w:val="center"/>
                </w:tcPr>
                <w:p w14:paraId="3D5535DF"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5.52%</w:t>
                  </w:r>
                </w:p>
              </w:tc>
              <w:tc>
                <w:tcPr>
                  <w:tcW w:w="640" w:type="dxa"/>
                  <w:vAlign w:val="center"/>
                </w:tcPr>
                <w:p w14:paraId="090088DA"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2.43%</w:t>
                  </w:r>
                </w:p>
              </w:tc>
              <w:tc>
                <w:tcPr>
                  <w:tcW w:w="650" w:type="dxa"/>
                  <w:vAlign w:val="center"/>
                </w:tcPr>
                <w:p w14:paraId="748EC8B1"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2.52%</w:t>
                  </w:r>
                </w:p>
              </w:tc>
              <w:tc>
                <w:tcPr>
                  <w:tcW w:w="650" w:type="dxa"/>
                  <w:vAlign w:val="center"/>
                </w:tcPr>
                <w:p w14:paraId="24B622AB"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-3.48%</w:t>
                  </w:r>
                </w:p>
              </w:tc>
              <w:tc>
                <w:tcPr>
                  <w:tcW w:w="650" w:type="dxa"/>
                  <w:vAlign w:val="center"/>
                </w:tcPr>
                <w:p w14:paraId="7A5CB10A"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2.06%</w:t>
                  </w:r>
                </w:p>
              </w:tc>
              <w:tc>
                <w:tcPr>
                  <w:tcW w:w="650" w:type="dxa"/>
                  <w:vAlign w:val="center"/>
                </w:tcPr>
                <w:p w14:paraId="5100D24E"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0.51%</w:t>
                  </w:r>
                </w:p>
              </w:tc>
              <w:tc>
                <w:tcPr>
                  <w:tcW w:w="650" w:type="dxa"/>
                  <w:vAlign w:val="center"/>
                </w:tcPr>
                <w:p w14:paraId="2790D5FA"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0.41%</w:t>
                  </w:r>
                </w:p>
              </w:tc>
              <w:tc>
                <w:tcPr>
                  <w:tcW w:w="650" w:type="dxa"/>
                  <w:vAlign w:val="center"/>
                </w:tcPr>
                <w:p w14:paraId="7A6D90EA"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1.15%</w:t>
                  </w:r>
                </w:p>
              </w:tc>
              <w:tc>
                <w:tcPr>
                  <w:tcW w:w="650" w:type="dxa"/>
                  <w:vAlign w:val="center"/>
                </w:tcPr>
                <w:p w14:paraId="585D4A95"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-0.27%</w:t>
                  </w:r>
                </w:p>
              </w:tc>
              <w:tc>
                <w:tcPr>
                  <w:tcW w:w="801" w:type="dxa"/>
                  <w:vAlign w:val="center"/>
                </w:tcPr>
                <w:p w14:paraId="0E030D6C"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0.67%</w:t>
                  </w:r>
                </w:p>
              </w:tc>
              <w:tc>
                <w:tcPr>
                  <w:tcW w:w="713" w:type="dxa"/>
                  <w:vAlign w:val="center"/>
                </w:tcPr>
                <w:p w14:paraId="2626B32A"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0.22%</w:t>
                  </w:r>
                </w:p>
              </w:tc>
              <w:tc>
                <w:tcPr>
                  <w:tcW w:w="857" w:type="dxa"/>
                  <w:vAlign w:val="center"/>
                </w:tcPr>
                <w:p w14:paraId="35B41E50" w14:textId="77777777" w:rsidR="00825411" w:rsidRPr="00D70A30" w:rsidRDefault="00825411">
                  <w:pPr>
                    <w:pStyle w:val="Heading1"/>
                    <w:spacing w:before="0"/>
                    <w:jc w:val="center"/>
                    <w:rPr>
                      <w:rFonts w:asciiTheme="minorHAnsi" w:hAnsiTheme="minorHAnsi"/>
                      <w:color w:val="auto"/>
                      <w:sz w:val="13"/>
                      <w:szCs w:val="13"/>
                      <w:lang w:val="en-US"/>
                    </w:rPr>
                  </w:pPr>
                  <w:r w:rsidRPr="00D70A30">
                    <w:rPr>
                      <w:rFonts w:asciiTheme="minorHAnsi" w:hAnsiTheme="minorHAnsi"/>
                      <w:color w:val="auto"/>
                      <w:sz w:val="13"/>
                      <w:szCs w:val="13"/>
                      <w:lang w:val="en-US"/>
                    </w:rPr>
                    <w:t>19.79%</w:t>
                  </w:r>
                </w:p>
              </w:tc>
            </w:tr>
            <w:tr w:rsidR="00825411" w:rsidRPr="00D70A30" w14:paraId="23444BE7" w14:textId="77777777">
              <w:trPr>
                <w:trHeight w:val="38"/>
              </w:trPr>
              <w:tc>
                <w:tcPr>
                  <w:tcW w:w="534" w:type="dxa"/>
                  <w:shd w:val="clear" w:color="auto" w:fill="D9D9D9" w:themeFill="background1" w:themeFillShade="D9"/>
                  <w:vAlign w:val="center"/>
                </w:tcPr>
                <w:p w14:paraId="25E4859F" w14:textId="77777777" w:rsidR="00825411" w:rsidRPr="00D70A30" w:rsidRDefault="00825411">
                  <w:pPr>
                    <w:pStyle w:val="Heading1"/>
                    <w:spacing w:before="0"/>
                    <w:jc w:val="center"/>
                    <w:rPr>
                      <w:rFonts w:asciiTheme="minorHAnsi" w:hAnsiTheme="minorHAnsi"/>
                      <w:color w:val="auto"/>
                      <w:sz w:val="13"/>
                      <w:szCs w:val="13"/>
                      <w:lang w:val="en-US"/>
                    </w:rPr>
                  </w:pPr>
                  <w:r w:rsidRPr="00D70A30">
                    <w:rPr>
                      <w:rFonts w:asciiTheme="minorHAnsi" w:hAnsiTheme="minorHAnsi"/>
                      <w:color w:val="auto"/>
                      <w:sz w:val="13"/>
                      <w:szCs w:val="13"/>
                      <w:lang w:val="en-US"/>
                    </w:rPr>
                    <w:t>2020</w:t>
                  </w:r>
                </w:p>
              </w:tc>
              <w:tc>
                <w:tcPr>
                  <w:tcW w:w="767" w:type="dxa"/>
                  <w:vAlign w:val="center"/>
                </w:tcPr>
                <w:p w14:paraId="4AE6FAC7"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-0.33%</w:t>
                  </w:r>
                </w:p>
              </w:tc>
              <w:tc>
                <w:tcPr>
                  <w:tcW w:w="660" w:type="dxa"/>
                  <w:vAlign w:val="center"/>
                </w:tcPr>
                <w:p w14:paraId="1A2F9237"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-8.12%</w:t>
                  </w:r>
                </w:p>
              </w:tc>
              <w:tc>
                <w:tcPr>
                  <w:tcW w:w="640" w:type="dxa"/>
                  <w:vAlign w:val="center"/>
                </w:tcPr>
                <w:p w14:paraId="2E090D5E"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-10.0%</w:t>
                  </w:r>
                </w:p>
              </w:tc>
              <w:tc>
                <w:tcPr>
                  <w:tcW w:w="650" w:type="dxa"/>
                  <w:vAlign w:val="center"/>
                </w:tcPr>
                <w:p w14:paraId="2C528A45"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4.75%</w:t>
                  </w:r>
                </w:p>
              </w:tc>
              <w:tc>
                <w:tcPr>
                  <w:tcW w:w="650" w:type="dxa"/>
                  <w:vAlign w:val="center"/>
                </w:tcPr>
                <w:p w14:paraId="758F389A"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3.00%</w:t>
                  </w:r>
                </w:p>
              </w:tc>
              <w:tc>
                <w:tcPr>
                  <w:tcW w:w="650" w:type="dxa"/>
                  <w:vAlign w:val="center"/>
                </w:tcPr>
                <w:p w14:paraId="127B6D59"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4.63%</w:t>
                  </w:r>
                </w:p>
              </w:tc>
              <w:tc>
                <w:tcPr>
                  <w:tcW w:w="650" w:type="dxa"/>
                  <w:vAlign w:val="center"/>
                </w:tcPr>
                <w:p w14:paraId="241EBD7C"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-1.07%</w:t>
                  </w:r>
                </w:p>
              </w:tc>
              <w:tc>
                <w:tcPr>
                  <w:tcW w:w="650" w:type="dxa"/>
                  <w:vAlign w:val="center"/>
                </w:tcPr>
                <w:p w14:paraId="4A5802D5"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5.55%</w:t>
                  </w:r>
                </w:p>
              </w:tc>
              <w:tc>
                <w:tcPr>
                  <w:tcW w:w="650" w:type="dxa"/>
                  <w:vAlign w:val="center"/>
                </w:tcPr>
                <w:p w14:paraId="2D71757B"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-1.78%</w:t>
                  </w:r>
                </w:p>
              </w:tc>
              <w:tc>
                <w:tcPr>
                  <w:tcW w:w="650" w:type="dxa"/>
                  <w:vAlign w:val="center"/>
                </w:tcPr>
                <w:p w14:paraId="74B4A9D3"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-6.40%</w:t>
                  </w:r>
                </w:p>
              </w:tc>
              <w:tc>
                <w:tcPr>
                  <w:tcW w:w="801" w:type="dxa"/>
                  <w:vAlign w:val="center"/>
                </w:tcPr>
                <w:p w14:paraId="51E4020E"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13.6%</w:t>
                  </w:r>
                </w:p>
              </w:tc>
              <w:tc>
                <w:tcPr>
                  <w:tcW w:w="713" w:type="dxa"/>
                  <w:vAlign w:val="center"/>
                </w:tcPr>
                <w:p w14:paraId="332FBD69"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0.98%</w:t>
                  </w:r>
                </w:p>
              </w:tc>
              <w:tc>
                <w:tcPr>
                  <w:tcW w:w="857" w:type="dxa"/>
                  <w:vAlign w:val="center"/>
                </w:tcPr>
                <w:p w14:paraId="49823551" w14:textId="77777777" w:rsidR="00825411" w:rsidRPr="00D70A30" w:rsidRDefault="00825411">
                  <w:pPr>
                    <w:pStyle w:val="Heading1"/>
                    <w:spacing w:before="0"/>
                    <w:jc w:val="center"/>
                    <w:rPr>
                      <w:rFonts w:asciiTheme="minorHAnsi" w:hAnsiTheme="minorHAnsi"/>
                      <w:color w:val="auto"/>
                      <w:sz w:val="13"/>
                      <w:szCs w:val="13"/>
                      <w:lang w:val="en-US"/>
                    </w:rPr>
                  </w:pPr>
                  <w:r w:rsidRPr="00D70A30">
                    <w:rPr>
                      <w:rFonts w:asciiTheme="minorHAnsi" w:hAnsiTheme="minorHAnsi"/>
                      <w:color w:val="auto"/>
                      <w:sz w:val="13"/>
                      <w:szCs w:val="13"/>
                      <w:lang w:val="en-US"/>
                    </w:rPr>
                    <w:t>2.39%</w:t>
                  </w:r>
                </w:p>
              </w:tc>
            </w:tr>
            <w:tr w:rsidR="00825411" w:rsidRPr="00D70A30" w14:paraId="4BF4E8C2" w14:textId="77777777">
              <w:trPr>
                <w:trHeight w:val="38"/>
              </w:trPr>
              <w:tc>
                <w:tcPr>
                  <w:tcW w:w="534" w:type="dxa"/>
                  <w:shd w:val="clear" w:color="auto" w:fill="D9D9D9" w:themeFill="background1" w:themeFillShade="D9"/>
                  <w:vAlign w:val="center"/>
                </w:tcPr>
                <w:p w14:paraId="0E20B0D7" w14:textId="77777777" w:rsidR="00825411" w:rsidRPr="00D70A30" w:rsidRDefault="00825411">
                  <w:pPr>
                    <w:pStyle w:val="Heading1"/>
                    <w:spacing w:before="0"/>
                    <w:jc w:val="center"/>
                    <w:rPr>
                      <w:rFonts w:asciiTheme="minorHAnsi" w:hAnsiTheme="minorHAnsi"/>
                      <w:color w:val="auto"/>
                      <w:sz w:val="13"/>
                      <w:szCs w:val="13"/>
                      <w:lang w:val="en-US"/>
                    </w:rPr>
                  </w:pPr>
                  <w:r w:rsidRPr="00D70A30">
                    <w:rPr>
                      <w:rFonts w:asciiTheme="minorHAnsi" w:hAnsiTheme="minorHAnsi"/>
                      <w:color w:val="auto"/>
                      <w:sz w:val="13"/>
                      <w:szCs w:val="13"/>
                      <w:lang w:val="en-US"/>
                    </w:rPr>
                    <w:t>2021</w:t>
                  </w:r>
                </w:p>
              </w:tc>
              <w:tc>
                <w:tcPr>
                  <w:tcW w:w="767" w:type="dxa"/>
                  <w:vAlign w:val="center"/>
                </w:tcPr>
                <w:p w14:paraId="172CEC5E"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0.91%</w:t>
                  </w:r>
                </w:p>
              </w:tc>
              <w:tc>
                <w:tcPr>
                  <w:tcW w:w="660" w:type="dxa"/>
                  <w:vAlign w:val="center"/>
                </w:tcPr>
                <w:p w14:paraId="317497D5"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1.54%</w:t>
                  </w:r>
                </w:p>
              </w:tc>
              <w:tc>
                <w:tcPr>
                  <w:tcW w:w="640" w:type="dxa"/>
                  <w:vAlign w:val="center"/>
                </w:tcPr>
                <w:p w14:paraId="60F19D5E"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5.44%</w:t>
                  </w:r>
                </w:p>
              </w:tc>
              <w:tc>
                <w:tcPr>
                  <w:tcW w:w="650" w:type="dxa"/>
                  <w:vAlign w:val="center"/>
                </w:tcPr>
                <w:p w14:paraId="302F1AEE"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0.54%</w:t>
                  </w:r>
                </w:p>
              </w:tc>
              <w:tc>
                <w:tcPr>
                  <w:tcW w:w="650" w:type="dxa"/>
                  <w:vAlign w:val="center"/>
                </w:tcPr>
                <w:p w14:paraId="1A28F900"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1.97%</w:t>
                  </w:r>
                </w:p>
              </w:tc>
              <w:tc>
                <w:tcPr>
                  <w:tcW w:w="650" w:type="dxa"/>
                  <w:vAlign w:val="center"/>
                </w:tcPr>
                <w:p w14:paraId="30E534FD"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3.16%</w:t>
                  </w:r>
                </w:p>
              </w:tc>
              <w:tc>
                <w:tcPr>
                  <w:tcW w:w="650" w:type="dxa"/>
                  <w:vAlign w:val="center"/>
                </w:tcPr>
                <w:p w14:paraId="642EAC65"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0.00%</w:t>
                  </w:r>
                </w:p>
              </w:tc>
              <w:tc>
                <w:tcPr>
                  <w:tcW w:w="650" w:type="dxa"/>
                  <w:vAlign w:val="center"/>
                </w:tcPr>
                <w:p w14:paraId="6D987A67"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1.81%</w:t>
                  </w:r>
                </w:p>
              </w:tc>
              <w:tc>
                <w:tcPr>
                  <w:tcW w:w="650" w:type="dxa"/>
                  <w:vAlign w:val="center"/>
                </w:tcPr>
                <w:p w14:paraId="0D9CA7D9"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-3.01%</w:t>
                  </w:r>
                </w:p>
              </w:tc>
              <w:tc>
                <w:tcPr>
                  <w:tcW w:w="650" w:type="dxa"/>
                  <w:vAlign w:val="center"/>
                </w:tcPr>
                <w:p w14:paraId="4DDFEEFF"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5.86%</w:t>
                  </w:r>
                </w:p>
              </w:tc>
              <w:tc>
                <w:tcPr>
                  <w:tcW w:w="801" w:type="dxa"/>
                  <w:vAlign w:val="center"/>
                </w:tcPr>
                <w:p w14:paraId="22E08B33"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-0.54%</w:t>
                  </w:r>
                </w:p>
              </w:tc>
              <w:tc>
                <w:tcPr>
                  <w:tcW w:w="713" w:type="dxa"/>
                  <w:vAlign w:val="center"/>
                </w:tcPr>
                <w:p w14:paraId="1B48DFD9"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+3.16%</w:t>
                  </w:r>
                </w:p>
              </w:tc>
              <w:tc>
                <w:tcPr>
                  <w:tcW w:w="857" w:type="dxa"/>
                  <w:vAlign w:val="center"/>
                </w:tcPr>
                <w:p w14:paraId="55C043C6" w14:textId="77777777" w:rsidR="00825411" w:rsidRPr="00D70A30" w:rsidRDefault="00825411">
                  <w:pPr>
                    <w:pStyle w:val="Heading1"/>
                    <w:spacing w:before="0"/>
                    <w:jc w:val="center"/>
                    <w:rPr>
                      <w:rFonts w:asciiTheme="minorHAnsi" w:hAnsiTheme="minorHAnsi"/>
                      <w:color w:val="auto"/>
                      <w:sz w:val="13"/>
                      <w:szCs w:val="13"/>
                      <w:lang w:val="en-US"/>
                    </w:rPr>
                  </w:pPr>
                  <w:r w:rsidRPr="00D70A30">
                    <w:rPr>
                      <w:rFonts w:asciiTheme="minorHAnsi" w:hAnsiTheme="minorHAnsi"/>
                      <w:color w:val="auto"/>
                      <w:sz w:val="13"/>
                      <w:szCs w:val="13"/>
                      <w:lang w:val="en-US"/>
                    </w:rPr>
                    <w:t>22.54%</w:t>
                  </w:r>
                </w:p>
              </w:tc>
            </w:tr>
            <w:tr w:rsidR="00825411" w:rsidRPr="00D70A30" w14:paraId="371BEE13" w14:textId="77777777">
              <w:trPr>
                <w:trHeight w:val="38"/>
              </w:trPr>
              <w:tc>
                <w:tcPr>
                  <w:tcW w:w="534" w:type="dxa"/>
                  <w:shd w:val="clear" w:color="auto" w:fill="D9D9D9" w:themeFill="background1" w:themeFillShade="D9"/>
                  <w:vAlign w:val="center"/>
                </w:tcPr>
                <w:p w14:paraId="0D922E8D" w14:textId="77777777" w:rsidR="00825411" w:rsidRPr="00D70A30" w:rsidRDefault="00825411">
                  <w:pPr>
                    <w:pStyle w:val="Heading1"/>
                    <w:spacing w:before="0"/>
                    <w:jc w:val="center"/>
                    <w:rPr>
                      <w:rFonts w:asciiTheme="minorHAnsi" w:hAnsiTheme="minorHAnsi"/>
                      <w:color w:val="auto"/>
                      <w:sz w:val="13"/>
                      <w:szCs w:val="13"/>
                      <w:lang w:val="en-US"/>
                    </w:rPr>
                  </w:pPr>
                  <w:r w:rsidRPr="00D70A30">
                    <w:rPr>
                      <w:rFonts w:asciiTheme="minorHAnsi" w:hAnsiTheme="minorHAnsi"/>
                      <w:color w:val="auto"/>
                      <w:sz w:val="13"/>
                      <w:szCs w:val="13"/>
                      <w:lang w:val="en-US"/>
                    </w:rPr>
                    <w:t>2022</w:t>
                  </w:r>
                </w:p>
              </w:tc>
              <w:tc>
                <w:tcPr>
                  <w:tcW w:w="767" w:type="dxa"/>
                  <w:vAlign w:val="center"/>
                </w:tcPr>
                <w:p w14:paraId="3C10830E"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-2.59%</w:t>
                  </w:r>
                </w:p>
              </w:tc>
              <w:tc>
                <w:tcPr>
                  <w:tcW w:w="660" w:type="dxa"/>
                  <w:vAlign w:val="center"/>
                </w:tcPr>
                <w:p w14:paraId="608093E4"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-6.62%</w:t>
                  </w:r>
                </w:p>
              </w:tc>
              <w:tc>
                <w:tcPr>
                  <w:tcW w:w="640" w:type="dxa"/>
                  <w:vAlign w:val="center"/>
                </w:tcPr>
                <w:p w14:paraId="3FB66992"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-0.23%</w:t>
                  </w:r>
                </w:p>
              </w:tc>
              <w:tc>
                <w:tcPr>
                  <w:tcW w:w="650" w:type="dxa"/>
                  <w:vAlign w:val="center"/>
                </w:tcPr>
                <w:p w14:paraId="53FCD46A"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0.0%</w:t>
                  </w:r>
                </w:p>
              </w:tc>
              <w:tc>
                <w:tcPr>
                  <w:tcW w:w="650" w:type="dxa"/>
                  <w:vAlign w:val="center"/>
                </w:tcPr>
                <w:p w14:paraId="256DC033"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-2.74%</w:t>
                  </w:r>
                </w:p>
              </w:tc>
              <w:tc>
                <w:tcPr>
                  <w:tcW w:w="650" w:type="dxa"/>
                  <w:vAlign w:val="center"/>
                </w:tcPr>
                <w:p w14:paraId="7E732842"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-5.63%</w:t>
                  </w:r>
                </w:p>
              </w:tc>
              <w:tc>
                <w:tcPr>
                  <w:tcW w:w="650" w:type="dxa"/>
                  <w:vAlign w:val="center"/>
                </w:tcPr>
                <w:p w14:paraId="22DC73F9"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5.96%</w:t>
                  </w:r>
                </w:p>
              </w:tc>
              <w:tc>
                <w:tcPr>
                  <w:tcW w:w="650" w:type="dxa"/>
                  <w:vAlign w:val="center"/>
                </w:tcPr>
                <w:p w14:paraId="7E59E501"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-3.64%</w:t>
                  </w:r>
                </w:p>
              </w:tc>
              <w:tc>
                <w:tcPr>
                  <w:tcW w:w="650" w:type="dxa"/>
                  <w:vAlign w:val="center"/>
                </w:tcPr>
                <w:p w14:paraId="59B3577D"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-5.71%</w:t>
                  </w:r>
                </w:p>
              </w:tc>
              <w:tc>
                <w:tcPr>
                  <w:tcW w:w="650" w:type="dxa"/>
                  <w:vAlign w:val="center"/>
                </w:tcPr>
                <w:p w14:paraId="503047A0"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5.80%</w:t>
                  </w:r>
                </w:p>
              </w:tc>
              <w:tc>
                <w:tcPr>
                  <w:tcW w:w="801" w:type="dxa"/>
                  <w:vAlign w:val="center"/>
                </w:tcPr>
                <w:p w14:paraId="6738B092"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4.61%</w:t>
                  </w:r>
                </w:p>
              </w:tc>
              <w:tc>
                <w:tcPr>
                  <w:tcW w:w="713" w:type="dxa"/>
                  <w:vAlign w:val="center"/>
                </w:tcPr>
                <w:p w14:paraId="04DABD04"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-3.81%</w:t>
                  </w:r>
                </w:p>
              </w:tc>
              <w:tc>
                <w:tcPr>
                  <w:tcW w:w="857" w:type="dxa"/>
                  <w:vAlign w:val="center"/>
                </w:tcPr>
                <w:p w14:paraId="5691EC1D" w14:textId="77777777" w:rsidR="00825411" w:rsidRPr="00D70A30" w:rsidRDefault="00825411">
                  <w:pPr>
                    <w:pStyle w:val="Heading1"/>
                    <w:spacing w:before="0"/>
                    <w:jc w:val="center"/>
                    <w:rPr>
                      <w:rFonts w:asciiTheme="minorHAnsi" w:hAnsiTheme="minorHAnsi"/>
                      <w:color w:val="auto"/>
                      <w:sz w:val="13"/>
                      <w:szCs w:val="13"/>
                      <w:lang w:val="en-US"/>
                    </w:rPr>
                  </w:pPr>
                  <w:r w:rsidRPr="00D70A30">
                    <w:rPr>
                      <w:rFonts w:asciiTheme="minorHAnsi" w:hAnsiTheme="minorHAnsi"/>
                      <w:color w:val="auto"/>
                      <w:sz w:val="13"/>
                      <w:szCs w:val="13"/>
                      <w:lang w:val="en-US"/>
                    </w:rPr>
                    <w:t>-14.59%</w:t>
                  </w:r>
                </w:p>
              </w:tc>
            </w:tr>
            <w:tr w:rsidR="00825411" w:rsidRPr="00D70A30" w14:paraId="79B251D9" w14:textId="77777777">
              <w:trPr>
                <w:trHeight w:val="193"/>
              </w:trPr>
              <w:tc>
                <w:tcPr>
                  <w:tcW w:w="534" w:type="dxa"/>
                  <w:shd w:val="clear" w:color="auto" w:fill="D9D9D9" w:themeFill="background1" w:themeFillShade="D9"/>
                  <w:vAlign w:val="center"/>
                </w:tcPr>
                <w:p w14:paraId="45892B10" w14:textId="77777777" w:rsidR="00825411" w:rsidRPr="00D70A30" w:rsidRDefault="00825411">
                  <w:pPr>
                    <w:pStyle w:val="Heading1"/>
                    <w:spacing w:before="0"/>
                    <w:jc w:val="center"/>
                    <w:rPr>
                      <w:rFonts w:asciiTheme="minorHAnsi" w:hAnsiTheme="minorHAnsi"/>
                      <w:color w:val="auto"/>
                      <w:sz w:val="13"/>
                      <w:szCs w:val="13"/>
                      <w:lang w:val="en-US"/>
                    </w:rPr>
                  </w:pPr>
                  <w:r w:rsidRPr="00D70A30">
                    <w:rPr>
                      <w:rFonts w:asciiTheme="minorHAnsi" w:hAnsiTheme="minorHAnsi"/>
                      <w:color w:val="auto"/>
                      <w:sz w:val="13"/>
                      <w:szCs w:val="13"/>
                      <w:lang w:val="en-US"/>
                    </w:rPr>
                    <w:t>2023</w:t>
                  </w:r>
                </w:p>
              </w:tc>
              <w:tc>
                <w:tcPr>
                  <w:tcW w:w="767" w:type="dxa"/>
                  <w:vAlign w:val="center"/>
                </w:tcPr>
                <w:p w14:paraId="3A45EEB0"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3.84%</w:t>
                  </w:r>
                </w:p>
              </w:tc>
              <w:tc>
                <w:tcPr>
                  <w:tcW w:w="660" w:type="dxa"/>
                  <w:vAlign w:val="center"/>
                </w:tcPr>
                <w:p w14:paraId="27E2A2AA"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1.31%</w:t>
                  </w:r>
                </w:p>
              </w:tc>
              <w:tc>
                <w:tcPr>
                  <w:tcW w:w="640" w:type="dxa"/>
                  <w:vAlign w:val="center"/>
                </w:tcPr>
                <w:p w14:paraId="3C872D99"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1.94%</w:t>
                  </w:r>
                </w:p>
              </w:tc>
              <w:tc>
                <w:tcPr>
                  <w:tcW w:w="650" w:type="dxa"/>
                  <w:vAlign w:val="center"/>
                </w:tcPr>
                <w:p w14:paraId="28ED1841"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3.87%</w:t>
                  </w:r>
                </w:p>
              </w:tc>
              <w:tc>
                <w:tcPr>
                  <w:tcW w:w="650" w:type="dxa"/>
                  <w:vAlign w:val="center"/>
                </w:tcPr>
                <w:p w14:paraId="2AC84F01"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-2.50%</w:t>
                  </w:r>
                </w:p>
              </w:tc>
              <w:tc>
                <w:tcPr>
                  <w:tcW w:w="650" w:type="dxa"/>
                  <w:vAlign w:val="center"/>
                </w:tcPr>
                <w:p w14:paraId="618BA796"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1.60%</w:t>
                  </w:r>
                </w:p>
              </w:tc>
              <w:tc>
                <w:tcPr>
                  <w:tcW w:w="650" w:type="dxa"/>
                  <w:vAlign w:val="center"/>
                </w:tcPr>
                <w:p w14:paraId="45A9179C"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1.68%</w:t>
                  </w:r>
                </w:p>
              </w:tc>
              <w:tc>
                <w:tcPr>
                  <w:tcW w:w="650" w:type="dxa"/>
                  <w:vAlign w:val="center"/>
                </w:tcPr>
                <w:p w14:paraId="02FB87A7"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-1.54%</w:t>
                  </w:r>
                </w:p>
              </w:tc>
              <w:tc>
                <w:tcPr>
                  <w:tcW w:w="650" w:type="dxa"/>
                  <w:vAlign w:val="center"/>
                </w:tcPr>
                <w:p w14:paraId="068FCC31"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-3.25%</w:t>
                  </w:r>
                </w:p>
              </w:tc>
              <w:tc>
                <w:tcPr>
                  <w:tcW w:w="650" w:type="dxa"/>
                  <w:vAlign w:val="center"/>
                </w:tcPr>
                <w:p w14:paraId="559921F5"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-0.75%</w:t>
                  </w:r>
                </w:p>
              </w:tc>
              <w:tc>
                <w:tcPr>
                  <w:tcW w:w="801" w:type="dxa"/>
                  <w:vAlign w:val="center"/>
                </w:tcPr>
                <w:p w14:paraId="6EB8A0A3"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3.79%</w:t>
                  </w:r>
                </w:p>
              </w:tc>
              <w:tc>
                <w:tcPr>
                  <w:tcW w:w="713" w:type="dxa"/>
                  <w:vAlign w:val="center"/>
                </w:tcPr>
                <w:p w14:paraId="3BF78CAB" w14:textId="0E53A847" w:rsidR="00825411" w:rsidRPr="00D70A30" w:rsidRDefault="00394C4C">
                  <w:pPr>
                    <w:pStyle w:val="Heading1"/>
                    <w:spacing w:before="0"/>
                    <w:jc w:val="center"/>
                    <w:rPr>
                      <w:rFonts w:asciiTheme="minorHAnsi" w:hAnsiTheme="minorHAnsi"/>
                      <w:b w:val="0"/>
                      <w:color w:val="auto"/>
                      <w:sz w:val="13"/>
                      <w:szCs w:val="13"/>
                      <w:lang w:val="en-US"/>
                    </w:rPr>
                  </w:pPr>
                  <w:r>
                    <w:rPr>
                      <w:rFonts w:asciiTheme="minorHAnsi" w:hAnsiTheme="minorHAnsi"/>
                      <w:b w:val="0"/>
                      <w:color w:val="auto"/>
                      <w:sz w:val="13"/>
                      <w:szCs w:val="13"/>
                      <w:lang w:val="en-US"/>
                    </w:rPr>
                    <w:t>1.85%</w:t>
                  </w:r>
                </w:p>
              </w:tc>
              <w:tc>
                <w:tcPr>
                  <w:tcW w:w="857" w:type="dxa"/>
                  <w:vAlign w:val="center"/>
                </w:tcPr>
                <w:p w14:paraId="22DC54EA" w14:textId="13E89F0F" w:rsidR="00825411" w:rsidRPr="00D70A30" w:rsidRDefault="00825411">
                  <w:pPr>
                    <w:pStyle w:val="Heading1"/>
                    <w:spacing w:before="0"/>
                    <w:jc w:val="center"/>
                    <w:rPr>
                      <w:rFonts w:asciiTheme="minorHAnsi" w:hAnsiTheme="minorHAnsi"/>
                      <w:color w:val="auto"/>
                      <w:sz w:val="13"/>
                      <w:szCs w:val="13"/>
                      <w:lang w:val="en-US"/>
                    </w:rPr>
                  </w:pPr>
                  <w:r>
                    <w:rPr>
                      <w:rFonts w:asciiTheme="minorHAnsi" w:hAnsiTheme="minorHAnsi"/>
                      <w:color w:val="auto"/>
                      <w:sz w:val="13"/>
                      <w:szCs w:val="13"/>
                      <w:lang w:val="en-US"/>
                    </w:rPr>
                    <w:t>1</w:t>
                  </w:r>
                  <w:r w:rsidR="00394C4C">
                    <w:rPr>
                      <w:rFonts w:asciiTheme="minorHAnsi" w:hAnsiTheme="minorHAnsi"/>
                      <w:color w:val="auto"/>
                      <w:sz w:val="13"/>
                      <w:szCs w:val="13"/>
                      <w:lang w:val="en-US"/>
                    </w:rPr>
                    <w:t>2.13%</w:t>
                  </w:r>
                </w:p>
              </w:tc>
            </w:tr>
            <w:tr w:rsidR="00BF2FBD" w:rsidRPr="00D70A30" w14:paraId="0BB86C5B" w14:textId="77777777">
              <w:trPr>
                <w:trHeight w:val="193"/>
              </w:trPr>
              <w:tc>
                <w:tcPr>
                  <w:tcW w:w="534" w:type="dxa"/>
                  <w:shd w:val="clear" w:color="auto" w:fill="D9D9D9" w:themeFill="background1" w:themeFillShade="D9"/>
                  <w:vAlign w:val="center"/>
                </w:tcPr>
                <w:p w14:paraId="5C27C8A9" w14:textId="10B2D90E" w:rsidR="00BF2FBD" w:rsidRPr="00D70A30" w:rsidRDefault="00BF2FBD">
                  <w:pPr>
                    <w:pStyle w:val="Heading1"/>
                    <w:spacing w:before="0"/>
                    <w:jc w:val="center"/>
                    <w:rPr>
                      <w:rFonts w:asciiTheme="minorHAnsi" w:hAnsiTheme="minorHAnsi"/>
                      <w:color w:val="auto"/>
                      <w:sz w:val="13"/>
                      <w:szCs w:val="13"/>
                      <w:lang w:val="en-US"/>
                    </w:rPr>
                  </w:pPr>
                  <w:r>
                    <w:rPr>
                      <w:rFonts w:asciiTheme="minorHAnsi" w:hAnsiTheme="minorHAnsi"/>
                      <w:color w:val="auto"/>
                      <w:sz w:val="13"/>
                      <w:szCs w:val="13"/>
                      <w:lang w:val="en-US"/>
                    </w:rPr>
                    <w:t>2024</w:t>
                  </w:r>
                </w:p>
              </w:tc>
              <w:tc>
                <w:tcPr>
                  <w:tcW w:w="767" w:type="dxa"/>
                  <w:vAlign w:val="center"/>
                </w:tcPr>
                <w:p w14:paraId="7D49E3C4" w14:textId="2E4BA542" w:rsidR="00BF2FBD" w:rsidRPr="00D70A30" w:rsidRDefault="00BF2FBD">
                  <w:pPr>
                    <w:pStyle w:val="Heading1"/>
                    <w:spacing w:before="0"/>
                    <w:jc w:val="center"/>
                    <w:rPr>
                      <w:rFonts w:asciiTheme="minorHAnsi" w:hAnsiTheme="minorHAnsi"/>
                      <w:b w:val="0"/>
                      <w:color w:val="auto"/>
                      <w:sz w:val="13"/>
                      <w:szCs w:val="13"/>
                      <w:lang w:val="en-US"/>
                    </w:rPr>
                  </w:pPr>
                  <w:r>
                    <w:rPr>
                      <w:rFonts w:asciiTheme="minorHAnsi" w:hAnsiTheme="minorHAnsi"/>
                      <w:b w:val="0"/>
                      <w:color w:val="auto"/>
                      <w:sz w:val="13"/>
                      <w:szCs w:val="13"/>
                      <w:lang w:val="en-US"/>
                    </w:rPr>
                    <w:t>1.32%</w:t>
                  </w:r>
                </w:p>
              </w:tc>
              <w:tc>
                <w:tcPr>
                  <w:tcW w:w="660" w:type="dxa"/>
                  <w:vAlign w:val="center"/>
                </w:tcPr>
                <w:p w14:paraId="16B3D762" w14:textId="5FCE7C5B" w:rsidR="00BF2FBD" w:rsidRPr="00D70A30" w:rsidRDefault="00FC6E0C">
                  <w:pPr>
                    <w:pStyle w:val="Heading1"/>
                    <w:spacing w:before="0"/>
                    <w:jc w:val="center"/>
                    <w:rPr>
                      <w:rFonts w:asciiTheme="minorHAnsi" w:hAnsiTheme="minorHAnsi"/>
                      <w:b w:val="0"/>
                      <w:color w:val="auto"/>
                      <w:sz w:val="13"/>
                      <w:szCs w:val="13"/>
                      <w:lang w:val="en-US"/>
                    </w:rPr>
                  </w:pPr>
                  <w:r>
                    <w:rPr>
                      <w:rFonts w:asciiTheme="minorHAnsi" w:hAnsiTheme="minorHAnsi"/>
                      <w:b w:val="0"/>
                      <w:color w:val="auto"/>
                      <w:sz w:val="13"/>
                      <w:szCs w:val="13"/>
                      <w:lang w:val="en-US"/>
                    </w:rPr>
                    <w:t>3.15%</w:t>
                  </w:r>
                </w:p>
              </w:tc>
              <w:tc>
                <w:tcPr>
                  <w:tcW w:w="640" w:type="dxa"/>
                  <w:vAlign w:val="center"/>
                </w:tcPr>
                <w:p w14:paraId="0C5A83C6" w14:textId="5E7E3C8D" w:rsidR="00BF2FBD" w:rsidRPr="00D70A30" w:rsidRDefault="006857CD">
                  <w:pPr>
                    <w:pStyle w:val="Heading1"/>
                    <w:spacing w:before="0"/>
                    <w:jc w:val="center"/>
                    <w:rPr>
                      <w:rFonts w:asciiTheme="minorHAnsi" w:hAnsiTheme="minorHAnsi"/>
                      <w:b w:val="0"/>
                      <w:color w:val="auto"/>
                      <w:sz w:val="13"/>
                      <w:szCs w:val="13"/>
                      <w:lang w:val="en-US"/>
                    </w:rPr>
                  </w:pPr>
                  <w:r>
                    <w:rPr>
                      <w:rFonts w:asciiTheme="minorHAnsi" w:hAnsiTheme="minorHAnsi"/>
                      <w:b w:val="0"/>
                      <w:color w:val="auto"/>
                      <w:sz w:val="13"/>
                      <w:szCs w:val="13"/>
                      <w:lang w:val="en-US"/>
                    </w:rPr>
                    <w:t>2.13%</w:t>
                  </w:r>
                </w:p>
              </w:tc>
              <w:tc>
                <w:tcPr>
                  <w:tcW w:w="650" w:type="dxa"/>
                  <w:vAlign w:val="center"/>
                </w:tcPr>
                <w:p w14:paraId="077E0D1D" w14:textId="029D470B" w:rsidR="00BF2FBD" w:rsidRPr="00D70A30" w:rsidRDefault="006F2FDD">
                  <w:pPr>
                    <w:pStyle w:val="Heading1"/>
                    <w:spacing w:before="0"/>
                    <w:jc w:val="center"/>
                    <w:rPr>
                      <w:rFonts w:asciiTheme="minorHAnsi" w:hAnsiTheme="minorHAnsi"/>
                      <w:b w:val="0"/>
                      <w:color w:val="auto"/>
                      <w:sz w:val="13"/>
                      <w:szCs w:val="13"/>
                      <w:lang w:val="en-US"/>
                    </w:rPr>
                  </w:pPr>
                  <w:r>
                    <w:rPr>
                      <w:rFonts w:asciiTheme="minorHAnsi" w:hAnsiTheme="minorHAnsi"/>
                      <w:b w:val="0"/>
                      <w:color w:val="auto"/>
                      <w:sz w:val="13"/>
                      <w:szCs w:val="13"/>
                      <w:lang w:val="en-US"/>
                    </w:rPr>
                    <w:t>-1.23%</w:t>
                  </w:r>
                </w:p>
              </w:tc>
              <w:tc>
                <w:tcPr>
                  <w:tcW w:w="650" w:type="dxa"/>
                  <w:vAlign w:val="center"/>
                </w:tcPr>
                <w:p w14:paraId="09C9BE45" w14:textId="140910B3" w:rsidR="00BF2FBD" w:rsidRPr="00D70A30" w:rsidRDefault="001142C3">
                  <w:pPr>
                    <w:pStyle w:val="Heading1"/>
                    <w:spacing w:before="0"/>
                    <w:jc w:val="center"/>
                    <w:rPr>
                      <w:rFonts w:asciiTheme="minorHAnsi" w:hAnsiTheme="minorHAnsi"/>
                      <w:b w:val="0"/>
                      <w:color w:val="auto"/>
                      <w:sz w:val="13"/>
                      <w:szCs w:val="13"/>
                      <w:lang w:val="en-US"/>
                    </w:rPr>
                  </w:pPr>
                  <w:r>
                    <w:rPr>
                      <w:rFonts w:asciiTheme="minorHAnsi" w:hAnsiTheme="minorHAnsi"/>
                      <w:b w:val="0"/>
                      <w:color w:val="auto"/>
                      <w:sz w:val="13"/>
                      <w:szCs w:val="13"/>
                      <w:lang w:val="en-US"/>
                    </w:rPr>
                    <w:t>1.38%</w:t>
                  </w:r>
                </w:p>
              </w:tc>
              <w:tc>
                <w:tcPr>
                  <w:tcW w:w="650" w:type="dxa"/>
                  <w:vAlign w:val="center"/>
                </w:tcPr>
                <w:p w14:paraId="1B952167" w14:textId="50B12572" w:rsidR="00BF2FBD" w:rsidRPr="00D70A30" w:rsidRDefault="00E06C99">
                  <w:pPr>
                    <w:pStyle w:val="Heading1"/>
                    <w:spacing w:before="0"/>
                    <w:jc w:val="center"/>
                    <w:rPr>
                      <w:rFonts w:asciiTheme="minorHAnsi" w:hAnsiTheme="minorHAnsi"/>
                      <w:b w:val="0"/>
                      <w:color w:val="auto"/>
                      <w:sz w:val="13"/>
                      <w:szCs w:val="13"/>
                      <w:lang w:val="en-US"/>
                    </w:rPr>
                  </w:pPr>
                  <w:r>
                    <w:rPr>
                      <w:rFonts w:asciiTheme="minorHAnsi" w:hAnsiTheme="minorHAnsi"/>
                      <w:b w:val="0"/>
                      <w:color w:val="auto"/>
                      <w:sz w:val="13"/>
                      <w:szCs w:val="13"/>
                      <w:lang w:val="en-US"/>
                    </w:rPr>
                    <w:t>1.58%</w:t>
                  </w:r>
                </w:p>
              </w:tc>
              <w:tc>
                <w:tcPr>
                  <w:tcW w:w="650" w:type="dxa"/>
                  <w:vAlign w:val="center"/>
                </w:tcPr>
                <w:p w14:paraId="432F3912" w14:textId="5130DAFF" w:rsidR="00BF2FBD" w:rsidRPr="00D70A30" w:rsidRDefault="00182A34">
                  <w:pPr>
                    <w:pStyle w:val="Heading1"/>
                    <w:spacing w:before="0"/>
                    <w:jc w:val="center"/>
                    <w:rPr>
                      <w:rFonts w:asciiTheme="minorHAnsi" w:hAnsiTheme="minorHAnsi"/>
                      <w:b w:val="0"/>
                      <w:color w:val="auto"/>
                      <w:sz w:val="13"/>
                      <w:szCs w:val="13"/>
                      <w:lang w:val="en-US"/>
                    </w:rPr>
                  </w:pPr>
                  <w:r>
                    <w:rPr>
                      <w:rFonts w:asciiTheme="minorHAnsi" w:hAnsiTheme="minorHAnsi"/>
                      <w:b w:val="0"/>
                      <w:color w:val="auto"/>
                      <w:sz w:val="13"/>
                      <w:szCs w:val="13"/>
                      <w:lang w:val="en-US"/>
                    </w:rPr>
                    <w:t>-0.45%</w:t>
                  </w:r>
                </w:p>
              </w:tc>
              <w:tc>
                <w:tcPr>
                  <w:tcW w:w="650" w:type="dxa"/>
                  <w:vAlign w:val="center"/>
                </w:tcPr>
                <w:p w14:paraId="05AD3A6A" w14:textId="1EE560CF" w:rsidR="00BF2FBD" w:rsidRPr="00D70A30" w:rsidRDefault="009347F6">
                  <w:pPr>
                    <w:pStyle w:val="Heading1"/>
                    <w:spacing w:before="0"/>
                    <w:jc w:val="center"/>
                    <w:rPr>
                      <w:rFonts w:asciiTheme="minorHAnsi" w:hAnsiTheme="minorHAnsi"/>
                      <w:b w:val="0"/>
                      <w:color w:val="auto"/>
                      <w:sz w:val="13"/>
                      <w:szCs w:val="13"/>
                      <w:lang w:val="en-US"/>
                    </w:rPr>
                  </w:pPr>
                  <w:r>
                    <w:rPr>
                      <w:rFonts w:asciiTheme="minorHAnsi" w:hAnsiTheme="minorHAnsi"/>
                      <w:b w:val="0"/>
                      <w:color w:val="auto"/>
                      <w:sz w:val="13"/>
                      <w:szCs w:val="13"/>
                      <w:lang w:val="en-US"/>
                    </w:rPr>
                    <w:t>1.04%</w:t>
                  </w:r>
                </w:p>
              </w:tc>
              <w:tc>
                <w:tcPr>
                  <w:tcW w:w="650" w:type="dxa"/>
                  <w:vAlign w:val="center"/>
                </w:tcPr>
                <w:p w14:paraId="61A6A3F0" w14:textId="44B4268C" w:rsidR="00BF2FBD" w:rsidRPr="00D70A30" w:rsidRDefault="00C3341B">
                  <w:pPr>
                    <w:pStyle w:val="Heading1"/>
                    <w:spacing w:before="0"/>
                    <w:jc w:val="center"/>
                    <w:rPr>
                      <w:rFonts w:asciiTheme="minorHAnsi" w:hAnsiTheme="minorHAnsi"/>
                      <w:b w:val="0"/>
                      <w:color w:val="auto"/>
                      <w:sz w:val="13"/>
                      <w:szCs w:val="13"/>
                      <w:lang w:val="en-US"/>
                    </w:rPr>
                  </w:pPr>
                  <w:r>
                    <w:rPr>
                      <w:rFonts w:asciiTheme="minorHAnsi" w:hAnsiTheme="minorHAnsi"/>
                      <w:b w:val="0"/>
                      <w:color w:val="auto"/>
                      <w:sz w:val="13"/>
                      <w:szCs w:val="13"/>
                      <w:lang w:val="en-US"/>
                    </w:rPr>
                    <w:t>-0.53%</w:t>
                  </w:r>
                </w:p>
              </w:tc>
              <w:tc>
                <w:tcPr>
                  <w:tcW w:w="650" w:type="dxa"/>
                  <w:vAlign w:val="center"/>
                </w:tcPr>
                <w:p w14:paraId="50EC0734" w14:textId="6BB24F26" w:rsidR="00BF2FBD" w:rsidRPr="00D70A30" w:rsidRDefault="00B41D61">
                  <w:pPr>
                    <w:pStyle w:val="Heading1"/>
                    <w:spacing w:before="0"/>
                    <w:jc w:val="center"/>
                    <w:rPr>
                      <w:rFonts w:asciiTheme="minorHAnsi" w:hAnsiTheme="minorHAnsi"/>
                      <w:b w:val="0"/>
                      <w:color w:val="auto"/>
                      <w:sz w:val="13"/>
                      <w:szCs w:val="13"/>
                      <w:lang w:val="en-US"/>
                    </w:rPr>
                  </w:pPr>
                  <w:r>
                    <w:rPr>
                      <w:rFonts w:asciiTheme="minorHAnsi" w:hAnsiTheme="minorHAnsi"/>
                      <w:b w:val="0"/>
                      <w:color w:val="auto"/>
                      <w:sz w:val="13"/>
                      <w:szCs w:val="13"/>
                      <w:lang w:val="en-US"/>
                    </w:rPr>
                    <w:t>-1.08%</w:t>
                  </w:r>
                </w:p>
              </w:tc>
              <w:tc>
                <w:tcPr>
                  <w:tcW w:w="801" w:type="dxa"/>
                  <w:vAlign w:val="center"/>
                </w:tcPr>
                <w:p w14:paraId="09DD27A4" w14:textId="12C8713A" w:rsidR="00BF2FBD" w:rsidRPr="00D70A30" w:rsidRDefault="00DA188E">
                  <w:pPr>
                    <w:pStyle w:val="Heading1"/>
                    <w:spacing w:before="0"/>
                    <w:jc w:val="center"/>
                    <w:rPr>
                      <w:rFonts w:asciiTheme="minorHAnsi" w:hAnsiTheme="minorHAnsi"/>
                      <w:b w:val="0"/>
                      <w:color w:val="auto"/>
                      <w:sz w:val="13"/>
                      <w:szCs w:val="13"/>
                      <w:lang w:val="en-US"/>
                    </w:rPr>
                  </w:pPr>
                  <w:r>
                    <w:rPr>
                      <w:rFonts w:asciiTheme="minorHAnsi" w:hAnsiTheme="minorHAnsi"/>
                      <w:b w:val="0"/>
                      <w:color w:val="auto"/>
                      <w:sz w:val="13"/>
                      <w:szCs w:val="13"/>
                      <w:lang w:val="en-US"/>
                    </w:rPr>
                    <w:t>1.22%</w:t>
                  </w:r>
                </w:p>
              </w:tc>
              <w:tc>
                <w:tcPr>
                  <w:tcW w:w="713" w:type="dxa"/>
                  <w:vAlign w:val="center"/>
                </w:tcPr>
                <w:p w14:paraId="04467894" w14:textId="2755649B" w:rsidR="00BF2FBD" w:rsidRDefault="00FF0411">
                  <w:pPr>
                    <w:pStyle w:val="Heading1"/>
                    <w:spacing w:before="0"/>
                    <w:jc w:val="center"/>
                    <w:rPr>
                      <w:rFonts w:asciiTheme="minorHAnsi" w:hAnsiTheme="minorHAnsi"/>
                      <w:b w:val="0"/>
                      <w:color w:val="auto"/>
                      <w:sz w:val="13"/>
                      <w:szCs w:val="13"/>
                      <w:lang w:val="en-US"/>
                    </w:rPr>
                  </w:pPr>
                  <w:r>
                    <w:rPr>
                      <w:rFonts w:asciiTheme="minorHAnsi" w:hAnsiTheme="minorHAnsi"/>
                      <w:b w:val="0"/>
                      <w:color w:val="auto"/>
                      <w:sz w:val="13"/>
                      <w:szCs w:val="13"/>
                      <w:lang w:val="en-US"/>
                    </w:rPr>
                    <w:t>-2.01</w:t>
                  </w:r>
                </w:p>
              </w:tc>
              <w:tc>
                <w:tcPr>
                  <w:tcW w:w="857" w:type="dxa"/>
                  <w:vAlign w:val="center"/>
                </w:tcPr>
                <w:p w14:paraId="1E8C6982" w14:textId="090C0FEA" w:rsidR="00BF2FBD" w:rsidRDefault="00FF0411" w:rsidP="00FC6E0C">
                  <w:pPr>
                    <w:pStyle w:val="Heading1"/>
                    <w:spacing w:before="0"/>
                    <w:jc w:val="center"/>
                    <w:rPr>
                      <w:rFonts w:asciiTheme="minorHAnsi" w:hAnsiTheme="minorHAnsi"/>
                      <w:color w:val="auto"/>
                      <w:sz w:val="13"/>
                      <w:szCs w:val="13"/>
                      <w:lang w:val="en-US"/>
                    </w:rPr>
                  </w:pPr>
                  <w:r>
                    <w:rPr>
                      <w:rFonts w:asciiTheme="minorHAnsi" w:hAnsiTheme="minorHAnsi"/>
                      <w:color w:val="auto"/>
                      <w:sz w:val="13"/>
                      <w:szCs w:val="13"/>
                      <w:lang w:val="en-US"/>
                    </w:rPr>
                    <w:t>6.58</w:t>
                  </w:r>
                  <w:r w:rsidR="00DA188E">
                    <w:rPr>
                      <w:rFonts w:asciiTheme="minorHAnsi" w:hAnsiTheme="minorHAnsi"/>
                      <w:color w:val="auto"/>
                      <w:sz w:val="13"/>
                      <w:szCs w:val="13"/>
                      <w:lang w:val="en-US"/>
                    </w:rPr>
                    <w:t>%</w:t>
                  </w:r>
                </w:p>
              </w:tc>
            </w:tr>
            <w:tr w:rsidR="00814793" w:rsidRPr="00D70A30" w14:paraId="1BB83234" w14:textId="77777777">
              <w:trPr>
                <w:trHeight w:val="193"/>
              </w:trPr>
              <w:tc>
                <w:tcPr>
                  <w:tcW w:w="534" w:type="dxa"/>
                  <w:shd w:val="clear" w:color="auto" w:fill="D9D9D9" w:themeFill="background1" w:themeFillShade="D9"/>
                  <w:vAlign w:val="center"/>
                </w:tcPr>
                <w:p w14:paraId="3D810F72" w14:textId="67C28C2E" w:rsidR="00814793" w:rsidRDefault="00814793">
                  <w:pPr>
                    <w:pStyle w:val="Heading1"/>
                    <w:spacing w:before="0"/>
                    <w:jc w:val="center"/>
                    <w:rPr>
                      <w:rFonts w:asciiTheme="minorHAnsi" w:hAnsiTheme="minorHAnsi"/>
                      <w:color w:val="auto"/>
                      <w:sz w:val="13"/>
                      <w:szCs w:val="13"/>
                      <w:lang w:val="en-US"/>
                    </w:rPr>
                  </w:pPr>
                  <w:r>
                    <w:rPr>
                      <w:rFonts w:asciiTheme="minorHAnsi" w:hAnsiTheme="minorHAnsi"/>
                      <w:color w:val="auto"/>
                      <w:sz w:val="13"/>
                      <w:szCs w:val="13"/>
                      <w:lang w:val="en-US"/>
                    </w:rPr>
                    <w:t>2025</w:t>
                  </w:r>
                </w:p>
              </w:tc>
              <w:tc>
                <w:tcPr>
                  <w:tcW w:w="767" w:type="dxa"/>
                  <w:vAlign w:val="center"/>
                </w:tcPr>
                <w:p w14:paraId="1B3A56DE" w14:textId="4FD934E6" w:rsidR="00814793" w:rsidRDefault="00814793">
                  <w:pPr>
                    <w:pStyle w:val="Heading1"/>
                    <w:spacing w:before="0"/>
                    <w:jc w:val="center"/>
                    <w:rPr>
                      <w:rFonts w:asciiTheme="minorHAnsi" w:hAnsiTheme="minorHAnsi"/>
                      <w:b w:val="0"/>
                      <w:color w:val="auto"/>
                      <w:sz w:val="13"/>
                      <w:szCs w:val="13"/>
                      <w:lang w:val="en-US"/>
                    </w:rPr>
                  </w:pPr>
                  <w:r>
                    <w:rPr>
                      <w:rFonts w:asciiTheme="minorHAnsi" w:hAnsiTheme="minorHAnsi"/>
                      <w:b w:val="0"/>
                      <w:color w:val="auto"/>
                      <w:sz w:val="13"/>
                      <w:szCs w:val="13"/>
                      <w:lang w:val="en-US"/>
                    </w:rPr>
                    <w:t>5.39%</w:t>
                  </w:r>
                </w:p>
              </w:tc>
              <w:tc>
                <w:tcPr>
                  <w:tcW w:w="660" w:type="dxa"/>
                  <w:vAlign w:val="center"/>
                </w:tcPr>
                <w:p w14:paraId="28233CF2" w14:textId="039A7601" w:rsidR="00814793" w:rsidRDefault="00445A3D">
                  <w:pPr>
                    <w:pStyle w:val="Heading1"/>
                    <w:spacing w:before="0"/>
                    <w:jc w:val="center"/>
                    <w:rPr>
                      <w:rFonts w:asciiTheme="minorHAnsi" w:hAnsiTheme="minorHAnsi"/>
                      <w:b w:val="0"/>
                      <w:color w:val="auto"/>
                      <w:sz w:val="13"/>
                      <w:szCs w:val="13"/>
                      <w:lang w:val="en-US"/>
                    </w:rPr>
                  </w:pPr>
                  <w:r>
                    <w:rPr>
                      <w:rFonts w:asciiTheme="minorHAnsi" w:hAnsiTheme="minorHAnsi"/>
                      <w:b w:val="0"/>
                      <w:color w:val="auto"/>
                      <w:sz w:val="13"/>
                      <w:szCs w:val="13"/>
                      <w:lang w:val="en-US"/>
                    </w:rPr>
                    <w:t>1</w:t>
                  </w:r>
                  <w:r w:rsidR="0073323C">
                    <w:rPr>
                      <w:rFonts w:asciiTheme="minorHAnsi" w:hAnsiTheme="minorHAnsi"/>
                      <w:b w:val="0"/>
                      <w:color w:val="auto"/>
                      <w:sz w:val="13"/>
                      <w:szCs w:val="13"/>
                      <w:lang w:val="en-US"/>
                    </w:rPr>
                    <w:t>.</w:t>
                  </w:r>
                  <w:r>
                    <w:rPr>
                      <w:rFonts w:asciiTheme="minorHAnsi" w:hAnsiTheme="minorHAnsi"/>
                      <w:b w:val="0"/>
                      <w:color w:val="auto"/>
                      <w:sz w:val="13"/>
                      <w:szCs w:val="13"/>
                      <w:lang w:val="en-US"/>
                    </w:rPr>
                    <w:t>98%</w:t>
                  </w:r>
                </w:p>
              </w:tc>
              <w:tc>
                <w:tcPr>
                  <w:tcW w:w="640" w:type="dxa"/>
                  <w:vAlign w:val="center"/>
                </w:tcPr>
                <w:p w14:paraId="6AE5CF87" w14:textId="1DF4A6DD" w:rsidR="00814793" w:rsidRDefault="00880679">
                  <w:pPr>
                    <w:pStyle w:val="Heading1"/>
                    <w:spacing w:before="0"/>
                    <w:jc w:val="center"/>
                    <w:rPr>
                      <w:rFonts w:asciiTheme="minorHAnsi" w:hAnsiTheme="minorHAnsi"/>
                      <w:b w:val="0"/>
                      <w:color w:val="auto"/>
                      <w:sz w:val="13"/>
                      <w:szCs w:val="13"/>
                      <w:lang w:val="en-US"/>
                    </w:rPr>
                  </w:pPr>
                  <w:r>
                    <w:rPr>
                      <w:rFonts w:asciiTheme="minorHAnsi" w:hAnsiTheme="minorHAnsi"/>
                      <w:b w:val="0"/>
                      <w:color w:val="auto"/>
                      <w:sz w:val="13"/>
                      <w:szCs w:val="13"/>
                      <w:lang w:val="en-US"/>
                    </w:rPr>
                    <w:t>-5.58%</w:t>
                  </w:r>
                </w:p>
              </w:tc>
              <w:tc>
                <w:tcPr>
                  <w:tcW w:w="650" w:type="dxa"/>
                  <w:vAlign w:val="center"/>
                </w:tcPr>
                <w:p w14:paraId="0D57500D" w14:textId="6E080668" w:rsidR="00814793" w:rsidRDefault="0095277D">
                  <w:pPr>
                    <w:pStyle w:val="Heading1"/>
                    <w:spacing w:before="0"/>
                    <w:jc w:val="center"/>
                    <w:rPr>
                      <w:rFonts w:asciiTheme="minorHAnsi" w:hAnsiTheme="minorHAnsi"/>
                      <w:b w:val="0"/>
                      <w:color w:val="auto"/>
                      <w:sz w:val="13"/>
                      <w:szCs w:val="13"/>
                      <w:lang w:val="en-US"/>
                    </w:rPr>
                  </w:pPr>
                  <w:r>
                    <w:rPr>
                      <w:rFonts w:asciiTheme="minorHAnsi" w:hAnsiTheme="minorHAnsi"/>
                      <w:b w:val="0"/>
                      <w:color w:val="auto"/>
                      <w:sz w:val="13"/>
                      <w:szCs w:val="13"/>
                      <w:lang w:val="en-US"/>
                    </w:rPr>
                    <w:t>-1.84%</w:t>
                  </w:r>
                </w:p>
              </w:tc>
              <w:tc>
                <w:tcPr>
                  <w:tcW w:w="650" w:type="dxa"/>
                  <w:vAlign w:val="center"/>
                </w:tcPr>
                <w:p w14:paraId="69A6CCAD" w14:textId="6BFB522A" w:rsidR="00814793" w:rsidRDefault="00860B74">
                  <w:pPr>
                    <w:pStyle w:val="Heading1"/>
                    <w:spacing w:before="0"/>
                    <w:jc w:val="center"/>
                    <w:rPr>
                      <w:rFonts w:asciiTheme="minorHAnsi" w:hAnsiTheme="minorHAnsi"/>
                      <w:b w:val="0"/>
                      <w:color w:val="auto"/>
                      <w:sz w:val="13"/>
                      <w:szCs w:val="13"/>
                      <w:lang w:val="en-US"/>
                    </w:rPr>
                  </w:pPr>
                  <w:r>
                    <w:rPr>
                      <w:rFonts w:asciiTheme="minorHAnsi" w:hAnsiTheme="minorHAnsi"/>
                      <w:b w:val="0"/>
                      <w:color w:val="auto"/>
                      <w:sz w:val="13"/>
                      <w:szCs w:val="13"/>
                      <w:lang w:val="en-US"/>
                    </w:rPr>
                    <w:t>3.56%</w:t>
                  </w:r>
                </w:p>
              </w:tc>
              <w:tc>
                <w:tcPr>
                  <w:tcW w:w="650" w:type="dxa"/>
                  <w:vAlign w:val="center"/>
                </w:tcPr>
                <w:p w14:paraId="3F06ED67" w14:textId="21496171" w:rsidR="00814793" w:rsidRDefault="00FA75B1">
                  <w:pPr>
                    <w:pStyle w:val="Heading1"/>
                    <w:spacing w:before="0"/>
                    <w:jc w:val="center"/>
                    <w:rPr>
                      <w:rFonts w:asciiTheme="minorHAnsi" w:hAnsiTheme="minorHAnsi"/>
                      <w:b w:val="0"/>
                      <w:color w:val="auto"/>
                      <w:sz w:val="13"/>
                      <w:szCs w:val="13"/>
                      <w:lang w:val="en-US"/>
                    </w:rPr>
                  </w:pPr>
                  <w:r>
                    <w:rPr>
                      <w:rFonts w:asciiTheme="minorHAnsi" w:hAnsiTheme="minorHAnsi"/>
                      <w:b w:val="0"/>
                      <w:color w:val="auto"/>
                      <w:sz w:val="13"/>
                      <w:szCs w:val="13"/>
                      <w:lang w:val="en-US"/>
                    </w:rPr>
                    <w:t>-0.97%</w:t>
                  </w:r>
                </w:p>
              </w:tc>
              <w:tc>
                <w:tcPr>
                  <w:tcW w:w="650" w:type="dxa"/>
                  <w:vAlign w:val="center"/>
                </w:tcPr>
                <w:p w14:paraId="07CE591F" w14:textId="7E0CA06A" w:rsidR="00814793" w:rsidRDefault="0022613C">
                  <w:pPr>
                    <w:pStyle w:val="Heading1"/>
                    <w:spacing w:before="0"/>
                    <w:jc w:val="center"/>
                    <w:rPr>
                      <w:rFonts w:asciiTheme="minorHAnsi" w:hAnsiTheme="minorHAnsi"/>
                      <w:b w:val="0"/>
                      <w:color w:val="auto"/>
                      <w:sz w:val="13"/>
                      <w:szCs w:val="13"/>
                      <w:lang w:val="en-US"/>
                    </w:rPr>
                  </w:pPr>
                  <w:r>
                    <w:rPr>
                      <w:rFonts w:asciiTheme="minorHAnsi" w:hAnsiTheme="minorHAnsi"/>
                      <w:b w:val="0"/>
                      <w:color w:val="auto"/>
                      <w:sz w:val="13"/>
                      <w:szCs w:val="13"/>
                      <w:lang w:val="en-US"/>
                    </w:rPr>
                    <w:t>-1.25%</w:t>
                  </w:r>
                </w:p>
              </w:tc>
              <w:tc>
                <w:tcPr>
                  <w:tcW w:w="650" w:type="dxa"/>
                  <w:vAlign w:val="center"/>
                </w:tcPr>
                <w:p w14:paraId="123D9F6E" w14:textId="1D36B5DC" w:rsidR="00814793" w:rsidRDefault="00341611">
                  <w:pPr>
                    <w:pStyle w:val="Heading1"/>
                    <w:spacing w:before="0"/>
                    <w:jc w:val="center"/>
                    <w:rPr>
                      <w:rFonts w:asciiTheme="minorHAnsi" w:hAnsiTheme="minorHAnsi"/>
                      <w:b w:val="0"/>
                      <w:color w:val="auto"/>
                      <w:sz w:val="13"/>
                      <w:szCs w:val="13"/>
                      <w:lang w:val="en-US"/>
                    </w:rPr>
                  </w:pPr>
                  <w:r>
                    <w:rPr>
                      <w:rFonts w:asciiTheme="minorHAnsi" w:hAnsiTheme="minorHAnsi"/>
                      <w:b w:val="0"/>
                      <w:color w:val="auto"/>
                      <w:sz w:val="13"/>
                      <w:szCs w:val="13"/>
                      <w:lang w:val="en-US"/>
                    </w:rPr>
                    <w:t>-0.94%</w:t>
                  </w:r>
                </w:p>
              </w:tc>
              <w:tc>
                <w:tcPr>
                  <w:tcW w:w="650" w:type="dxa"/>
                  <w:vAlign w:val="center"/>
                </w:tcPr>
                <w:p w14:paraId="6119F608" w14:textId="072AA9F9" w:rsidR="00814793" w:rsidRDefault="00505BE4">
                  <w:pPr>
                    <w:pStyle w:val="Heading1"/>
                    <w:spacing w:before="0"/>
                    <w:jc w:val="center"/>
                    <w:rPr>
                      <w:rFonts w:asciiTheme="minorHAnsi" w:hAnsiTheme="minorHAnsi"/>
                      <w:b w:val="0"/>
                      <w:color w:val="auto"/>
                      <w:sz w:val="13"/>
                      <w:szCs w:val="13"/>
                      <w:lang w:val="en-US"/>
                    </w:rPr>
                  </w:pPr>
                  <w:r>
                    <w:rPr>
                      <w:rFonts w:asciiTheme="minorHAnsi" w:hAnsiTheme="minorHAnsi"/>
                      <w:b w:val="0"/>
                      <w:color w:val="auto"/>
                      <w:sz w:val="13"/>
                      <w:szCs w:val="13"/>
                      <w:lang w:val="en-US"/>
                    </w:rPr>
                    <w:t>3.08%</w:t>
                  </w:r>
                </w:p>
              </w:tc>
              <w:tc>
                <w:tcPr>
                  <w:tcW w:w="650" w:type="dxa"/>
                  <w:vAlign w:val="center"/>
                </w:tcPr>
                <w:p w14:paraId="3C007E27" w14:textId="75653B33" w:rsidR="00814793" w:rsidRDefault="001026FF">
                  <w:pPr>
                    <w:pStyle w:val="Heading1"/>
                    <w:spacing w:before="0"/>
                    <w:jc w:val="center"/>
                    <w:rPr>
                      <w:rFonts w:asciiTheme="minorHAnsi" w:hAnsiTheme="minorHAnsi"/>
                      <w:b w:val="0"/>
                      <w:color w:val="auto"/>
                      <w:sz w:val="13"/>
                      <w:szCs w:val="13"/>
                      <w:lang w:val="en-US"/>
                    </w:rPr>
                  </w:pPr>
                  <w:r>
                    <w:rPr>
                      <w:rFonts w:asciiTheme="minorHAnsi" w:hAnsiTheme="minorHAnsi"/>
                      <w:b w:val="0"/>
                      <w:color w:val="auto"/>
                      <w:sz w:val="13"/>
                      <w:szCs w:val="13"/>
                      <w:lang w:val="en-US"/>
                    </w:rPr>
                    <w:t>1.20%</w:t>
                  </w:r>
                </w:p>
              </w:tc>
              <w:tc>
                <w:tcPr>
                  <w:tcW w:w="801" w:type="dxa"/>
                  <w:vAlign w:val="center"/>
                </w:tcPr>
                <w:p w14:paraId="79F4718F" w14:textId="22B2F175" w:rsidR="00814793" w:rsidRDefault="0047296C">
                  <w:pPr>
                    <w:pStyle w:val="Heading1"/>
                    <w:spacing w:before="0"/>
                    <w:jc w:val="center"/>
                    <w:rPr>
                      <w:rFonts w:asciiTheme="minorHAnsi" w:hAnsiTheme="minorHAnsi"/>
                      <w:b w:val="0"/>
                      <w:color w:val="auto"/>
                      <w:sz w:val="13"/>
                      <w:szCs w:val="13"/>
                      <w:lang w:val="en-US"/>
                    </w:rPr>
                  </w:pPr>
                  <w:r>
                    <w:rPr>
                      <w:rFonts w:asciiTheme="minorHAnsi" w:hAnsiTheme="minorHAnsi"/>
                      <w:b w:val="0"/>
                      <w:color w:val="auto"/>
                      <w:sz w:val="13"/>
                      <w:szCs w:val="13"/>
                      <w:lang w:val="en-US"/>
                    </w:rPr>
                    <w:t>-2.30%</w:t>
                  </w:r>
                </w:p>
              </w:tc>
              <w:tc>
                <w:tcPr>
                  <w:tcW w:w="713" w:type="dxa"/>
                  <w:vAlign w:val="center"/>
                </w:tcPr>
                <w:p w14:paraId="31B58186" w14:textId="36ABBB97" w:rsidR="00814793" w:rsidRDefault="00237938">
                  <w:pPr>
                    <w:pStyle w:val="Heading1"/>
                    <w:spacing w:before="0"/>
                    <w:jc w:val="center"/>
                    <w:rPr>
                      <w:rFonts w:asciiTheme="minorHAnsi" w:hAnsiTheme="minorHAnsi"/>
                      <w:b w:val="0"/>
                      <w:color w:val="auto"/>
                      <w:sz w:val="13"/>
                      <w:szCs w:val="13"/>
                      <w:lang w:val="en-US"/>
                    </w:rPr>
                  </w:pPr>
                  <w:r>
                    <w:rPr>
                      <w:rFonts w:asciiTheme="minorHAnsi" w:hAnsiTheme="minorHAnsi"/>
                      <w:b w:val="0"/>
                      <w:color w:val="auto"/>
                      <w:sz w:val="13"/>
                      <w:szCs w:val="13"/>
                      <w:lang w:val="en-US"/>
                    </w:rPr>
                    <w:t>0.18%</w:t>
                  </w:r>
                </w:p>
              </w:tc>
              <w:tc>
                <w:tcPr>
                  <w:tcW w:w="857" w:type="dxa"/>
                  <w:vAlign w:val="center"/>
                </w:tcPr>
                <w:p w14:paraId="1B36ADDA" w14:textId="352FA2F7" w:rsidR="00814793" w:rsidRDefault="00237938" w:rsidP="00FC6E0C">
                  <w:pPr>
                    <w:pStyle w:val="Heading1"/>
                    <w:spacing w:before="0"/>
                    <w:jc w:val="center"/>
                    <w:rPr>
                      <w:rFonts w:asciiTheme="minorHAnsi" w:hAnsiTheme="minorHAnsi"/>
                      <w:color w:val="auto"/>
                      <w:sz w:val="13"/>
                      <w:szCs w:val="13"/>
                      <w:lang w:val="en-US"/>
                    </w:rPr>
                  </w:pPr>
                  <w:r>
                    <w:rPr>
                      <w:rFonts w:asciiTheme="minorHAnsi" w:hAnsiTheme="minorHAnsi"/>
                      <w:color w:val="auto"/>
                      <w:sz w:val="13"/>
                      <w:szCs w:val="13"/>
                      <w:lang w:val="en-US"/>
                    </w:rPr>
                    <w:t>2.02%</w:t>
                  </w:r>
                  <w:r w:rsidR="00445A3D">
                    <w:rPr>
                      <w:rFonts w:asciiTheme="minorHAnsi" w:hAnsiTheme="minorHAnsi"/>
                      <w:color w:val="auto"/>
                      <w:sz w:val="13"/>
                      <w:szCs w:val="13"/>
                      <w:lang w:val="en-US"/>
                    </w:rPr>
                    <w:t>%</w:t>
                  </w:r>
                </w:p>
              </w:tc>
            </w:tr>
            <w:tr w:rsidR="00161A5A" w:rsidRPr="00D70A30" w14:paraId="1657D531" w14:textId="77777777">
              <w:trPr>
                <w:trHeight w:val="193"/>
              </w:trPr>
              <w:tc>
                <w:tcPr>
                  <w:tcW w:w="534" w:type="dxa"/>
                  <w:shd w:val="clear" w:color="auto" w:fill="D9D9D9" w:themeFill="background1" w:themeFillShade="D9"/>
                  <w:vAlign w:val="center"/>
                </w:tcPr>
                <w:p w14:paraId="032FCE22" w14:textId="35DB2618" w:rsidR="00161A5A" w:rsidRDefault="00161A5A">
                  <w:pPr>
                    <w:pStyle w:val="Heading1"/>
                    <w:spacing w:before="0"/>
                    <w:jc w:val="center"/>
                    <w:rPr>
                      <w:rFonts w:asciiTheme="minorHAnsi" w:hAnsiTheme="minorHAnsi"/>
                      <w:color w:val="auto"/>
                      <w:sz w:val="13"/>
                      <w:szCs w:val="13"/>
                      <w:lang w:val="en-US"/>
                    </w:rPr>
                  </w:pPr>
                  <w:r>
                    <w:rPr>
                      <w:rFonts w:asciiTheme="minorHAnsi" w:hAnsiTheme="minorHAnsi"/>
                      <w:color w:val="auto"/>
                      <w:sz w:val="13"/>
                      <w:szCs w:val="13"/>
                      <w:lang w:val="en-US"/>
                    </w:rPr>
                    <w:t>2026</w:t>
                  </w:r>
                </w:p>
              </w:tc>
              <w:tc>
                <w:tcPr>
                  <w:tcW w:w="767" w:type="dxa"/>
                  <w:vAlign w:val="center"/>
                </w:tcPr>
                <w:p w14:paraId="5C03B0A9" w14:textId="41E422F9" w:rsidR="00161A5A" w:rsidRDefault="00161A5A">
                  <w:pPr>
                    <w:pStyle w:val="Heading1"/>
                    <w:spacing w:before="0"/>
                    <w:jc w:val="center"/>
                    <w:rPr>
                      <w:rFonts w:asciiTheme="minorHAnsi" w:hAnsiTheme="minorHAnsi"/>
                      <w:b w:val="0"/>
                      <w:color w:val="auto"/>
                      <w:sz w:val="13"/>
                      <w:szCs w:val="13"/>
                      <w:lang w:val="en-US"/>
                    </w:rPr>
                  </w:pPr>
                  <w:r>
                    <w:rPr>
                      <w:rFonts w:asciiTheme="minorHAnsi" w:hAnsiTheme="minorHAnsi"/>
                      <w:b w:val="0"/>
                      <w:color w:val="auto"/>
                      <w:sz w:val="13"/>
                      <w:szCs w:val="13"/>
                      <w:lang w:val="en-US"/>
                    </w:rPr>
                    <w:t>2.24%</w:t>
                  </w:r>
                </w:p>
              </w:tc>
              <w:tc>
                <w:tcPr>
                  <w:tcW w:w="660" w:type="dxa"/>
                  <w:vAlign w:val="center"/>
                </w:tcPr>
                <w:p w14:paraId="149D3A16" w14:textId="6A3F3EE0" w:rsidR="00161A5A" w:rsidRDefault="000236D4">
                  <w:pPr>
                    <w:pStyle w:val="Heading1"/>
                    <w:spacing w:before="0"/>
                    <w:jc w:val="center"/>
                    <w:rPr>
                      <w:rFonts w:asciiTheme="minorHAnsi" w:hAnsiTheme="minorHAnsi"/>
                      <w:b w:val="0"/>
                      <w:color w:val="auto"/>
                      <w:sz w:val="13"/>
                      <w:szCs w:val="13"/>
                      <w:lang w:val="en-US"/>
                    </w:rPr>
                  </w:pPr>
                  <w:r>
                    <w:rPr>
                      <w:rFonts w:asciiTheme="minorHAnsi" w:hAnsiTheme="minorHAnsi"/>
                      <w:b w:val="0"/>
                      <w:color w:val="auto"/>
                      <w:sz w:val="13"/>
                      <w:szCs w:val="13"/>
                      <w:lang w:val="en-US"/>
                    </w:rPr>
                    <w:t>5.09%</w:t>
                  </w:r>
                </w:p>
              </w:tc>
              <w:tc>
                <w:tcPr>
                  <w:tcW w:w="640" w:type="dxa"/>
                  <w:vAlign w:val="center"/>
                </w:tcPr>
                <w:p w14:paraId="6ECA1DAE" w14:textId="4ED246D2" w:rsidR="00161A5A" w:rsidRDefault="00E511AB">
                  <w:pPr>
                    <w:pStyle w:val="Heading1"/>
                    <w:spacing w:before="0"/>
                    <w:jc w:val="center"/>
                    <w:rPr>
                      <w:rFonts w:asciiTheme="minorHAnsi" w:hAnsiTheme="minorHAnsi"/>
                      <w:b w:val="0"/>
                      <w:color w:val="auto"/>
                      <w:sz w:val="13"/>
                      <w:szCs w:val="13"/>
                      <w:lang w:val="en-US"/>
                    </w:rPr>
                  </w:pPr>
                  <w:r>
                    <w:rPr>
                      <w:rFonts w:asciiTheme="minorHAnsi" w:hAnsiTheme="minorHAnsi"/>
                      <w:b w:val="0"/>
                      <w:color w:val="auto"/>
                      <w:sz w:val="13"/>
                      <w:szCs w:val="13"/>
                      <w:lang w:val="en-US"/>
                    </w:rPr>
                    <w:t>-6.86%</w:t>
                  </w:r>
                </w:p>
              </w:tc>
              <w:tc>
                <w:tcPr>
                  <w:tcW w:w="650" w:type="dxa"/>
                  <w:vAlign w:val="center"/>
                </w:tcPr>
                <w:p w14:paraId="5AE1852F" w14:textId="47C8A98F" w:rsidR="00161A5A" w:rsidRDefault="00D10A98">
                  <w:pPr>
                    <w:pStyle w:val="Heading1"/>
                    <w:spacing w:before="0"/>
                    <w:jc w:val="center"/>
                    <w:rPr>
                      <w:rFonts w:asciiTheme="minorHAnsi" w:hAnsiTheme="minorHAnsi"/>
                      <w:b w:val="0"/>
                      <w:color w:val="auto"/>
                      <w:sz w:val="13"/>
                      <w:szCs w:val="13"/>
                      <w:lang w:val="en-US"/>
                    </w:rPr>
                  </w:pPr>
                  <w:r>
                    <w:rPr>
                      <w:rFonts w:asciiTheme="minorHAnsi" w:hAnsiTheme="minorHAnsi"/>
                      <w:b w:val="0"/>
                      <w:color w:val="auto"/>
                      <w:sz w:val="13"/>
                      <w:szCs w:val="13"/>
                      <w:lang w:val="en-US"/>
                    </w:rPr>
                    <w:t>6.11%</w:t>
                  </w:r>
                </w:p>
              </w:tc>
              <w:tc>
                <w:tcPr>
                  <w:tcW w:w="650" w:type="dxa"/>
                  <w:vAlign w:val="center"/>
                </w:tcPr>
                <w:p w14:paraId="18BF4859" w14:textId="77777777" w:rsidR="00161A5A" w:rsidRDefault="00161A5A">
                  <w:pPr>
                    <w:pStyle w:val="Heading1"/>
                    <w:spacing w:before="0"/>
                    <w:jc w:val="center"/>
                    <w:rPr>
                      <w:rFonts w:asciiTheme="minorHAnsi" w:hAnsiTheme="minorHAnsi"/>
                      <w:b w:val="0"/>
                      <w:color w:val="auto"/>
                      <w:sz w:val="13"/>
                      <w:szCs w:val="13"/>
                      <w:lang w:val="en-US"/>
                    </w:rPr>
                  </w:pPr>
                </w:p>
              </w:tc>
              <w:tc>
                <w:tcPr>
                  <w:tcW w:w="650" w:type="dxa"/>
                  <w:vAlign w:val="center"/>
                </w:tcPr>
                <w:p w14:paraId="7D4743DD" w14:textId="77777777" w:rsidR="00161A5A" w:rsidRDefault="00161A5A">
                  <w:pPr>
                    <w:pStyle w:val="Heading1"/>
                    <w:spacing w:before="0"/>
                    <w:jc w:val="center"/>
                    <w:rPr>
                      <w:rFonts w:asciiTheme="minorHAnsi" w:hAnsiTheme="minorHAnsi"/>
                      <w:b w:val="0"/>
                      <w:color w:val="auto"/>
                      <w:sz w:val="13"/>
                      <w:szCs w:val="13"/>
                      <w:lang w:val="en-US"/>
                    </w:rPr>
                  </w:pPr>
                </w:p>
              </w:tc>
              <w:tc>
                <w:tcPr>
                  <w:tcW w:w="650" w:type="dxa"/>
                  <w:vAlign w:val="center"/>
                </w:tcPr>
                <w:p w14:paraId="320364B4" w14:textId="77777777" w:rsidR="00161A5A" w:rsidRDefault="00161A5A">
                  <w:pPr>
                    <w:pStyle w:val="Heading1"/>
                    <w:spacing w:before="0"/>
                    <w:jc w:val="center"/>
                    <w:rPr>
                      <w:rFonts w:asciiTheme="minorHAnsi" w:hAnsiTheme="minorHAnsi"/>
                      <w:b w:val="0"/>
                      <w:color w:val="auto"/>
                      <w:sz w:val="13"/>
                      <w:szCs w:val="13"/>
                      <w:lang w:val="en-US"/>
                    </w:rPr>
                  </w:pPr>
                </w:p>
              </w:tc>
              <w:tc>
                <w:tcPr>
                  <w:tcW w:w="650" w:type="dxa"/>
                  <w:vAlign w:val="center"/>
                </w:tcPr>
                <w:p w14:paraId="473B2B20" w14:textId="77777777" w:rsidR="00161A5A" w:rsidRDefault="00161A5A">
                  <w:pPr>
                    <w:pStyle w:val="Heading1"/>
                    <w:spacing w:before="0"/>
                    <w:jc w:val="center"/>
                    <w:rPr>
                      <w:rFonts w:asciiTheme="minorHAnsi" w:hAnsiTheme="minorHAnsi"/>
                      <w:b w:val="0"/>
                      <w:color w:val="auto"/>
                      <w:sz w:val="13"/>
                      <w:szCs w:val="13"/>
                      <w:lang w:val="en-US"/>
                    </w:rPr>
                  </w:pPr>
                </w:p>
              </w:tc>
              <w:tc>
                <w:tcPr>
                  <w:tcW w:w="650" w:type="dxa"/>
                  <w:vAlign w:val="center"/>
                </w:tcPr>
                <w:p w14:paraId="43F24D61" w14:textId="77777777" w:rsidR="00161A5A" w:rsidRDefault="00161A5A">
                  <w:pPr>
                    <w:pStyle w:val="Heading1"/>
                    <w:spacing w:before="0"/>
                    <w:jc w:val="center"/>
                    <w:rPr>
                      <w:rFonts w:asciiTheme="minorHAnsi" w:hAnsiTheme="minorHAnsi"/>
                      <w:b w:val="0"/>
                      <w:color w:val="auto"/>
                      <w:sz w:val="13"/>
                      <w:szCs w:val="13"/>
                      <w:lang w:val="en-US"/>
                    </w:rPr>
                  </w:pPr>
                </w:p>
              </w:tc>
              <w:tc>
                <w:tcPr>
                  <w:tcW w:w="650" w:type="dxa"/>
                  <w:vAlign w:val="center"/>
                </w:tcPr>
                <w:p w14:paraId="418F6B83" w14:textId="77777777" w:rsidR="00161A5A" w:rsidRDefault="00161A5A">
                  <w:pPr>
                    <w:pStyle w:val="Heading1"/>
                    <w:spacing w:before="0"/>
                    <w:jc w:val="center"/>
                    <w:rPr>
                      <w:rFonts w:asciiTheme="minorHAnsi" w:hAnsiTheme="minorHAnsi"/>
                      <w:b w:val="0"/>
                      <w:color w:val="auto"/>
                      <w:sz w:val="13"/>
                      <w:szCs w:val="13"/>
                      <w:lang w:val="en-US"/>
                    </w:rPr>
                  </w:pPr>
                </w:p>
              </w:tc>
              <w:tc>
                <w:tcPr>
                  <w:tcW w:w="801" w:type="dxa"/>
                  <w:vAlign w:val="center"/>
                </w:tcPr>
                <w:p w14:paraId="361C624C" w14:textId="77777777" w:rsidR="00161A5A" w:rsidRDefault="00161A5A">
                  <w:pPr>
                    <w:pStyle w:val="Heading1"/>
                    <w:spacing w:before="0"/>
                    <w:jc w:val="center"/>
                    <w:rPr>
                      <w:rFonts w:asciiTheme="minorHAnsi" w:hAnsiTheme="minorHAnsi"/>
                      <w:b w:val="0"/>
                      <w:color w:val="auto"/>
                      <w:sz w:val="13"/>
                      <w:szCs w:val="13"/>
                      <w:lang w:val="en-US"/>
                    </w:rPr>
                  </w:pPr>
                </w:p>
              </w:tc>
              <w:tc>
                <w:tcPr>
                  <w:tcW w:w="713" w:type="dxa"/>
                  <w:vAlign w:val="center"/>
                </w:tcPr>
                <w:p w14:paraId="79F3D20D" w14:textId="77777777" w:rsidR="00161A5A" w:rsidRDefault="00161A5A">
                  <w:pPr>
                    <w:pStyle w:val="Heading1"/>
                    <w:spacing w:before="0"/>
                    <w:jc w:val="center"/>
                    <w:rPr>
                      <w:rFonts w:asciiTheme="minorHAnsi" w:hAnsiTheme="minorHAnsi"/>
                      <w:b w:val="0"/>
                      <w:color w:val="auto"/>
                      <w:sz w:val="13"/>
                      <w:szCs w:val="13"/>
                      <w:lang w:val="en-US"/>
                    </w:rPr>
                  </w:pPr>
                </w:p>
              </w:tc>
              <w:tc>
                <w:tcPr>
                  <w:tcW w:w="857" w:type="dxa"/>
                  <w:vAlign w:val="center"/>
                </w:tcPr>
                <w:p w14:paraId="19CE31C3" w14:textId="360330A6" w:rsidR="00161A5A" w:rsidRDefault="00D10A98" w:rsidP="00FC6E0C">
                  <w:pPr>
                    <w:pStyle w:val="Heading1"/>
                    <w:spacing w:before="0"/>
                    <w:jc w:val="center"/>
                    <w:rPr>
                      <w:rFonts w:asciiTheme="minorHAnsi" w:hAnsiTheme="minorHAnsi"/>
                      <w:color w:val="auto"/>
                      <w:sz w:val="13"/>
                      <w:szCs w:val="13"/>
                      <w:lang w:val="en-US"/>
                    </w:rPr>
                  </w:pPr>
                  <w:r>
                    <w:rPr>
                      <w:rFonts w:asciiTheme="minorHAnsi" w:hAnsiTheme="minorHAnsi"/>
                      <w:color w:val="auto"/>
                      <w:sz w:val="13"/>
                      <w:szCs w:val="13"/>
                      <w:lang w:val="en-US"/>
                    </w:rPr>
                    <w:t>6.19</w:t>
                  </w:r>
                  <w:r w:rsidR="00E511AB">
                    <w:rPr>
                      <w:rFonts w:asciiTheme="minorHAnsi" w:hAnsiTheme="minorHAnsi"/>
                      <w:color w:val="auto"/>
                      <w:sz w:val="13"/>
                      <w:szCs w:val="13"/>
                      <w:lang w:val="en-US"/>
                    </w:rPr>
                    <w:t>%</w:t>
                  </w:r>
                </w:p>
              </w:tc>
            </w:tr>
          </w:tbl>
          <w:p w14:paraId="48FADE8E" w14:textId="5E2AC12A" w:rsidR="00825411" w:rsidRPr="003B297B" w:rsidRDefault="00825411" w:rsidP="00C4745C">
            <w:pPr>
              <w:pStyle w:val="Heading1"/>
              <w:spacing w:before="0"/>
              <w:rPr>
                <w:rFonts w:asciiTheme="minorHAnsi" w:hAnsiTheme="minorHAnsi"/>
                <w:color w:val="C00000"/>
                <w:sz w:val="24"/>
                <w:lang w:val="en-GB"/>
              </w:rPr>
            </w:pPr>
            <w:r w:rsidRPr="00394C4C">
              <w:rPr>
                <w:rFonts w:asciiTheme="minorHAnsi" w:hAnsiTheme="minorHAnsi"/>
                <w:color w:val="C00000"/>
                <w:sz w:val="24"/>
                <w:lang w:val="en-US"/>
              </w:rPr>
              <w:t>Figures &amp; Ratios</w:t>
            </w:r>
          </w:p>
        </w:tc>
        <w:tc>
          <w:tcPr>
            <w:tcW w:w="10317" w:type="dxa"/>
          </w:tcPr>
          <w:p w14:paraId="5B38B6A4" w14:textId="77777777" w:rsidR="00825411" w:rsidRPr="001B1F78" w:rsidRDefault="00825411">
            <w:pPr>
              <w:pStyle w:val="Heading1"/>
              <w:spacing w:before="0"/>
              <w:jc w:val="center"/>
              <w:rPr>
                <w:rFonts w:asciiTheme="minorHAnsi" w:hAnsiTheme="minorHAnsi"/>
                <w:color w:val="auto"/>
                <w:sz w:val="15"/>
                <w:szCs w:val="15"/>
                <w:lang w:val="en-US"/>
              </w:rPr>
            </w:pPr>
          </w:p>
        </w:tc>
      </w:tr>
    </w:tbl>
    <w:tbl>
      <w:tblPr>
        <w:tblStyle w:val="TableGrid"/>
        <w:tblpPr w:leftFromText="180" w:rightFromText="180" w:vertAnchor="text" w:horzAnchor="margin" w:tblpY="1"/>
        <w:tblW w:w="5152" w:type="pct"/>
        <w:tblLayout w:type="fixed"/>
        <w:tblCellMar>
          <w:left w:w="70" w:type="dxa"/>
          <w:right w:w="70" w:type="dxa"/>
        </w:tblCellMar>
        <w:tblLook w:val="04A0" w:firstRow="1" w:lastRow="0" w:firstColumn="1" w:lastColumn="0" w:noHBand="0" w:noVBand="1"/>
      </w:tblPr>
      <w:tblGrid>
        <w:gridCol w:w="9485"/>
      </w:tblGrid>
      <w:tr w:rsidR="00825411" w14:paraId="014F8709" w14:textId="77777777" w:rsidTr="001572CF">
        <w:trPr>
          <w:trHeight w:val="2259"/>
        </w:trPr>
        <w:tc>
          <w:tcPr>
            <w:tcW w:w="9681" w:type="dxa"/>
            <w:tcBorders>
              <w:top w:val="single" w:sz="4" w:space="0" w:color="C00000"/>
              <w:left w:val="single" w:sz="4" w:space="0" w:color="C00000"/>
              <w:bottom w:val="single" w:sz="4" w:space="0" w:color="C00000"/>
              <w:right w:val="single" w:sz="4" w:space="0" w:color="C00000"/>
            </w:tcBorders>
          </w:tcPr>
          <w:p w14:paraId="4E5AF2F2" w14:textId="0FB15058" w:rsidR="00825411" w:rsidRDefault="00DA632B" w:rsidP="002C7468">
            <w:pPr>
              <w:jc w:val="center"/>
              <w:rPr>
                <w:iCs/>
                <w:sz w:val="14"/>
                <w:szCs w:val="14"/>
                <w:lang w:val="en-GB"/>
              </w:rPr>
            </w:pPr>
            <w:r w:rsidRPr="00DA632B">
              <w:rPr>
                <w:iCs/>
                <w:noProof/>
                <w:sz w:val="14"/>
                <w:szCs w:val="14"/>
                <w:lang w:val="en-GB"/>
              </w:rPr>
              <w:drawing>
                <wp:inline distT="0" distB="0" distL="0" distR="0" wp14:anchorId="1E4BF03F" wp14:editId="0DC312B5">
                  <wp:extent cx="5931535" cy="1701800"/>
                  <wp:effectExtent l="0" t="0" r="0" b="0"/>
                  <wp:docPr id="19350188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1535" cy="1701800"/>
                          </a:xfrm>
                          <a:prstGeom prst="rect">
                            <a:avLst/>
                          </a:prstGeom>
                          <a:noFill/>
                          <a:ln>
                            <a:noFill/>
                          </a:ln>
                        </pic:spPr>
                      </pic:pic>
                    </a:graphicData>
                  </a:graphic>
                </wp:inline>
              </w:drawing>
            </w:r>
          </w:p>
          <w:p w14:paraId="12271B50" w14:textId="1E26DFF1" w:rsidR="00825411" w:rsidRDefault="00DA632B" w:rsidP="00C4745C">
            <w:pPr>
              <w:ind w:left="708" w:hanging="708"/>
              <w:jc w:val="center"/>
              <w:rPr>
                <w:noProof/>
                <w:lang w:val="en-US" w:eastAsia="de-CH"/>
              </w:rPr>
            </w:pPr>
            <w:r w:rsidRPr="00DA632B">
              <w:rPr>
                <w:noProof/>
                <w:lang w:val="en-US" w:eastAsia="de-CH"/>
              </w:rPr>
              <w:drawing>
                <wp:inline distT="0" distB="0" distL="0" distR="0" wp14:anchorId="295AFCB5" wp14:editId="052248A6">
                  <wp:extent cx="2753083" cy="1979433"/>
                  <wp:effectExtent l="0" t="0" r="9525" b="1905"/>
                  <wp:docPr id="7457662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66018" cy="1988733"/>
                          </a:xfrm>
                          <a:prstGeom prst="rect">
                            <a:avLst/>
                          </a:prstGeom>
                          <a:noFill/>
                          <a:ln>
                            <a:noFill/>
                          </a:ln>
                        </pic:spPr>
                      </pic:pic>
                    </a:graphicData>
                  </a:graphic>
                </wp:inline>
              </w:drawing>
            </w:r>
            <w:r w:rsidR="005B0F2F" w:rsidRPr="005B0F2F">
              <w:rPr>
                <w:noProof/>
                <w:lang w:val="en-US" w:eastAsia="de-CH"/>
              </w:rPr>
              <w:t xml:space="preserve"> </w:t>
            </w:r>
            <w:r w:rsidR="00CA4B1C">
              <w:rPr>
                <w:noProof/>
                <w14:ligatures w14:val="standardContextual"/>
              </w:rPr>
              <w:t xml:space="preserve"> </w:t>
            </w:r>
            <w:r w:rsidR="00396E15">
              <w:rPr>
                <w:noProof/>
                <w14:ligatures w14:val="standardContextual"/>
              </w:rPr>
              <w:drawing>
                <wp:inline distT="0" distB="0" distL="0" distR="0" wp14:anchorId="1AF7D83B" wp14:editId="7DCBAE2E">
                  <wp:extent cx="2221071" cy="1904779"/>
                  <wp:effectExtent l="0" t="0" r="8255" b="635"/>
                  <wp:docPr id="1837540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30034" cy="1912466"/>
                          </a:xfrm>
                          <a:prstGeom prst="rect">
                            <a:avLst/>
                          </a:prstGeom>
                          <a:noFill/>
                        </pic:spPr>
                      </pic:pic>
                    </a:graphicData>
                  </a:graphic>
                </wp:inline>
              </w:drawing>
            </w:r>
          </w:p>
        </w:tc>
      </w:tr>
    </w:tbl>
    <w:tbl>
      <w:tblPr>
        <w:tblStyle w:val="TableGrid"/>
        <w:tblW w:w="5196"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shd w:val="clear" w:color="auto" w:fill="F2F2F2" w:themeFill="background1" w:themeFillShade="F2"/>
        <w:tblLayout w:type="fixed"/>
        <w:tblLook w:val="04A0" w:firstRow="1" w:lastRow="0" w:firstColumn="1" w:lastColumn="0" w:noHBand="0" w:noVBand="1"/>
      </w:tblPr>
      <w:tblGrid>
        <w:gridCol w:w="5697"/>
        <w:gridCol w:w="3879"/>
      </w:tblGrid>
      <w:tr w:rsidR="00825411" w:rsidRPr="00835938" w14:paraId="4B1A40DE" w14:textId="77777777" w:rsidTr="00C4745C">
        <w:trPr>
          <w:trHeight w:val="317"/>
        </w:trPr>
        <w:tc>
          <w:tcPr>
            <w:tcW w:w="5816" w:type="dxa"/>
            <w:tcBorders>
              <w:top w:val="nil"/>
              <w:left w:val="nil"/>
              <w:bottom w:val="nil"/>
              <w:right w:val="nil"/>
            </w:tcBorders>
            <w:shd w:val="clear" w:color="auto" w:fill="F2F2F2" w:themeFill="background1" w:themeFillShade="F2"/>
          </w:tcPr>
          <w:p w14:paraId="7BDFEF4A" w14:textId="77777777" w:rsidR="00825411" w:rsidRDefault="00825411">
            <w:pPr>
              <w:spacing w:after="0"/>
              <w:rPr>
                <w:sz w:val="10"/>
                <w:lang w:val="en-US"/>
              </w:rPr>
            </w:pPr>
          </w:p>
          <w:p w14:paraId="6D57E18C" w14:textId="35821CA6" w:rsidR="00825411" w:rsidRPr="003D16EC" w:rsidRDefault="00825411">
            <w:pPr>
              <w:spacing w:after="0"/>
              <w:rPr>
                <w:b/>
                <w:color w:val="C00000"/>
                <w:sz w:val="24"/>
                <w:lang w:val="en-US"/>
              </w:rPr>
            </w:pPr>
            <w:r w:rsidRPr="00835938">
              <w:rPr>
                <w:b/>
                <w:color w:val="C00000"/>
                <w:sz w:val="24"/>
                <w:lang w:val="en-US"/>
              </w:rPr>
              <w:t>Certificate Terms</w:t>
            </w:r>
          </w:p>
          <w:p w14:paraId="5F74AB8C" w14:textId="77777777" w:rsidR="00825411" w:rsidRPr="00493A15" w:rsidRDefault="00825411">
            <w:pPr>
              <w:spacing w:after="0"/>
              <w:rPr>
                <w:sz w:val="18"/>
                <w:szCs w:val="18"/>
                <w:lang w:val="en-US"/>
              </w:rPr>
            </w:pPr>
            <w:r w:rsidRPr="00493A15">
              <w:rPr>
                <w:sz w:val="18"/>
                <w:szCs w:val="18"/>
                <w:lang w:val="en-US"/>
              </w:rPr>
              <w:t xml:space="preserve">Issuer: UBS AG </w:t>
            </w:r>
          </w:p>
          <w:p w14:paraId="19E60516" w14:textId="77777777" w:rsidR="00825411" w:rsidRPr="00493A15" w:rsidRDefault="00825411">
            <w:pPr>
              <w:spacing w:after="0"/>
              <w:rPr>
                <w:sz w:val="18"/>
                <w:szCs w:val="18"/>
                <w:lang w:val="en-US"/>
              </w:rPr>
            </w:pPr>
            <w:r w:rsidRPr="00493A15">
              <w:rPr>
                <w:sz w:val="18"/>
                <w:szCs w:val="18"/>
                <w:lang w:val="en-US"/>
              </w:rPr>
              <w:t>Advisor: Aspermont Capital AG</w:t>
            </w:r>
          </w:p>
          <w:p w14:paraId="285DCDB3" w14:textId="77777777" w:rsidR="00825411" w:rsidRPr="00493A15" w:rsidRDefault="00825411">
            <w:pPr>
              <w:spacing w:after="0"/>
              <w:rPr>
                <w:sz w:val="18"/>
                <w:szCs w:val="18"/>
                <w:lang w:val="en-US"/>
              </w:rPr>
            </w:pPr>
            <w:r w:rsidRPr="00493A15">
              <w:rPr>
                <w:sz w:val="18"/>
                <w:szCs w:val="18"/>
                <w:lang w:val="en-US"/>
              </w:rPr>
              <w:t>ISIN: CH0215884732</w:t>
            </w:r>
          </w:p>
          <w:p w14:paraId="31A9020D" w14:textId="77777777" w:rsidR="00825411" w:rsidRPr="00493A15" w:rsidRDefault="00825411">
            <w:pPr>
              <w:spacing w:after="0"/>
              <w:rPr>
                <w:sz w:val="18"/>
                <w:szCs w:val="18"/>
                <w:lang w:val="en-US"/>
              </w:rPr>
            </w:pPr>
            <w:r w:rsidRPr="00493A15">
              <w:rPr>
                <w:sz w:val="18"/>
                <w:szCs w:val="18"/>
                <w:lang w:val="en-US"/>
              </w:rPr>
              <w:t>Profile: Tracker-Certificate (SVSP-Code: 1300)</w:t>
            </w:r>
          </w:p>
          <w:p w14:paraId="3BC08523" w14:textId="77777777" w:rsidR="00825411" w:rsidRPr="00835938" w:rsidRDefault="00825411">
            <w:pPr>
              <w:spacing w:after="0"/>
              <w:rPr>
                <w:sz w:val="20"/>
                <w:lang w:val="en-US"/>
              </w:rPr>
            </w:pPr>
            <w:r w:rsidRPr="00493A15">
              <w:rPr>
                <w:sz w:val="18"/>
                <w:szCs w:val="18"/>
                <w:lang w:val="en-US"/>
              </w:rPr>
              <w:t>Launch date: June 2013</w:t>
            </w:r>
          </w:p>
        </w:tc>
        <w:tc>
          <w:tcPr>
            <w:tcW w:w="3959" w:type="dxa"/>
            <w:tcBorders>
              <w:top w:val="nil"/>
              <w:left w:val="nil"/>
              <w:bottom w:val="nil"/>
              <w:right w:val="nil"/>
            </w:tcBorders>
            <w:shd w:val="clear" w:color="auto" w:fill="F2F2F2" w:themeFill="background1" w:themeFillShade="F2"/>
          </w:tcPr>
          <w:p w14:paraId="63C07671" w14:textId="77777777" w:rsidR="00825411" w:rsidRPr="00835938" w:rsidRDefault="00825411">
            <w:pPr>
              <w:spacing w:after="0"/>
              <w:rPr>
                <w:sz w:val="10"/>
                <w:lang w:val="en-US"/>
              </w:rPr>
            </w:pPr>
          </w:p>
          <w:p w14:paraId="5416688F" w14:textId="77777777" w:rsidR="00825411" w:rsidRDefault="00825411">
            <w:pPr>
              <w:spacing w:after="0"/>
              <w:rPr>
                <w:sz w:val="18"/>
                <w:szCs w:val="18"/>
                <w:lang w:val="en-US"/>
              </w:rPr>
            </w:pPr>
          </w:p>
          <w:p w14:paraId="7AB61E3F" w14:textId="77777777" w:rsidR="00825411" w:rsidRPr="00493A15" w:rsidRDefault="00825411">
            <w:pPr>
              <w:spacing w:after="0"/>
              <w:rPr>
                <w:sz w:val="18"/>
                <w:szCs w:val="18"/>
                <w:lang w:val="en-US"/>
              </w:rPr>
            </w:pPr>
            <w:r w:rsidRPr="00493A15">
              <w:rPr>
                <w:sz w:val="18"/>
                <w:szCs w:val="18"/>
                <w:lang w:val="en-US"/>
              </w:rPr>
              <w:t>Currency: EUR</w:t>
            </w:r>
          </w:p>
          <w:p w14:paraId="37B35118" w14:textId="77777777" w:rsidR="00825411" w:rsidRPr="00493A15" w:rsidRDefault="00825411">
            <w:pPr>
              <w:spacing w:after="0"/>
              <w:rPr>
                <w:sz w:val="18"/>
                <w:szCs w:val="18"/>
                <w:lang w:val="en-US"/>
              </w:rPr>
            </w:pPr>
            <w:r w:rsidRPr="00493A15">
              <w:rPr>
                <w:sz w:val="18"/>
                <w:szCs w:val="18"/>
                <w:lang w:val="en-US"/>
              </w:rPr>
              <w:t>Denomination: EUR 100 per Unit</w:t>
            </w:r>
          </w:p>
          <w:p w14:paraId="47A10C8E" w14:textId="289389C6" w:rsidR="0032060D" w:rsidRPr="00493A15" w:rsidRDefault="00825411">
            <w:pPr>
              <w:spacing w:after="0"/>
              <w:rPr>
                <w:sz w:val="18"/>
                <w:szCs w:val="18"/>
                <w:lang w:val="en-US"/>
              </w:rPr>
            </w:pPr>
            <w:r w:rsidRPr="00493A15">
              <w:rPr>
                <w:sz w:val="18"/>
                <w:szCs w:val="18"/>
                <w:lang w:val="en-US"/>
              </w:rPr>
              <w:t>Maturity: June 12, 2018 (</w:t>
            </w:r>
            <w:r>
              <w:rPr>
                <w:sz w:val="18"/>
                <w:szCs w:val="18"/>
                <w:lang w:val="en-US"/>
              </w:rPr>
              <w:t>e</w:t>
            </w:r>
            <w:r w:rsidRPr="00493A15">
              <w:rPr>
                <w:sz w:val="18"/>
                <w:szCs w:val="18"/>
                <w:lang w:val="en-US"/>
              </w:rPr>
              <w:t>xtend</w:t>
            </w:r>
            <w:r>
              <w:rPr>
                <w:sz w:val="18"/>
                <w:szCs w:val="18"/>
                <w:lang w:val="en-US"/>
              </w:rPr>
              <w:t>ed to June 13, 2028</w:t>
            </w:r>
            <w:r w:rsidRPr="00493A15">
              <w:rPr>
                <w:sz w:val="18"/>
                <w:szCs w:val="18"/>
                <w:lang w:val="en-US"/>
              </w:rPr>
              <w:t>)</w:t>
            </w:r>
          </w:p>
          <w:p w14:paraId="701AB18C" w14:textId="77777777" w:rsidR="00825411" w:rsidRPr="00566A59" w:rsidRDefault="00825411">
            <w:pPr>
              <w:spacing w:after="0"/>
              <w:rPr>
                <w:color w:val="00B050"/>
                <w:sz w:val="18"/>
                <w:szCs w:val="18"/>
                <w:lang w:val="en-US"/>
              </w:rPr>
            </w:pPr>
            <w:r w:rsidRPr="00493A15">
              <w:rPr>
                <w:sz w:val="18"/>
                <w:szCs w:val="18"/>
                <w:lang w:val="en-US"/>
              </w:rPr>
              <w:t>Listing: SIX Swiss Exchange (SIX Structured)</w:t>
            </w:r>
          </w:p>
        </w:tc>
      </w:tr>
    </w:tbl>
    <w:p w14:paraId="1A22082F" w14:textId="76FB3195" w:rsidR="00401BD6" w:rsidRDefault="00401BD6" w:rsidP="008556CB"/>
    <w:sectPr w:rsidR="00401BD6" w:rsidSect="003A192C">
      <w:headerReference w:type="default" r:id="rId12"/>
      <w:footerReference w:type="default" r:id="rId13"/>
      <w:pgSz w:w="11906" w:h="16838" w:code="9"/>
      <w:pgMar w:top="1417" w:right="1274" w:bottom="1417" w:left="1417" w:header="720" w:footer="11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B192A" w14:textId="77777777" w:rsidR="00D75D6E" w:rsidRDefault="00D75D6E">
      <w:pPr>
        <w:spacing w:after="0" w:line="240" w:lineRule="auto"/>
      </w:pPr>
      <w:r>
        <w:separator/>
      </w:r>
    </w:p>
  </w:endnote>
  <w:endnote w:type="continuationSeparator" w:id="0">
    <w:p w14:paraId="029032DA" w14:textId="77777777" w:rsidR="00D75D6E" w:rsidRDefault="00D75D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98906" w14:textId="77777777" w:rsidR="002F0246" w:rsidRPr="001A02FB" w:rsidRDefault="002F0246" w:rsidP="003A192C">
    <w:pPr>
      <w:spacing w:after="0"/>
      <w:jc w:val="both"/>
      <w:rPr>
        <w:b/>
        <w:bCs/>
        <w:sz w:val="10"/>
        <w:szCs w:val="10"/>
        <w:lang w:val="en-GB"/>
      </w:rPr>
    </w:pPr>
    <w:bookmarkStart w:id="1" w:name="_Hlk198802118"/>
    <w:bookmarkStart w:id="2" w:name="_Hlk198802107"/>
    <w:bookmarkStart w:id="3" w:name="_Hlk198802478"/>
    <w:bookmarkStart w:id="4" w:name="_Hlk198802479"/>
    <w:bookmarkStart w:id="5" w:name="_Hlk198804221"/>
    <w:bookmarkStart w:id="6" w:name="_Hlk198804222"/>
    <w:r w:rsidRPr="001A02FB">
      <w:rPr>
        <w:b/>
        <w:bCs/>
        <w:sz w:val="10"/>
        <w:szCs w:val="10"/>
        <w:lang w:val="en-GB"/>
      </w:rPr>
      <w:t>Disclaimer:</w:t>
    </w:r>
  </w:p>
  <w:bookmarkEnd w:id="1"/>
  <w:p w14:paraId="703A9474" w14:textId="77777777" w:rsidR="002F0246" w:rsidRPr="001A02FB" w:rsidRDefault="002F0246" w:rsidP="003A192C">
    <w:pPr>
      <w:spacing w:after="0"/>
      <w:jc w:val="both"/>
      <w:rPr>
        <w:sz w:val="10"/>
        <w:szCs w:val="10"/>
        <w:lang w:val="en-GB"/>
      </w:rPr>
    </w:pPr>
    <w:r w:rsidRPr="001A02FB">
      <w:rPr>
        <w:sz w:val="10"/>
        <w:szCs w:val="10"/>
        <w:lang w:val="en-GB"/>
      </w:rPr>
      <w:t xml:space="preserve">This document constitutes advertising within the meaning of article 68 of the </w:t>
    </w:r>
    <w:proofErr w:type="spellStart"/>
    <w:r w:rsidRPr="001A02FB">
      <w:rPr>
        <w:sz w:val="10"/>
        <w:szCs w:val="10"/>
        <w:lang w:val="en-GB"/>
      </w:rPr>
      <w:t>FinSA</w:t>
    </w:r>
    <w:proofErr w:type="spellEnd"/>
    <w:r w:rsidRPr="001A02FB">
      <w:rPr>
        <w:sz w:val="10"/>
        <w:szCs w:val="10"/>
        <w:lang w:val="en-GB"/>
      </w:rPr>
      <w:t xml:space="preserve"> and is intended for information only and for personal use. This document is intended only for professional respectively qualified investors and not for private investors.  </w:t>
    </w:r>
  </w:p>
  <w:p w14:paraId="125E07DA" w14:textId="77777777" w:rsidR="002F0246" w:rsidRPr="001A02FB" w:rsidRDefault="002F0246" w:rsidP="003A192C">
    <w:pPr>
      <w:spacing w:after="0"/>
      <w:jc w:val="both"/>
      <w:rPr>
        <w:sz w:val="10"/>
        <w:szCs w:val="10"/>
        <w:lang w:val="en-GB"/>
      </w:rPr>
    </w:pPr>
    <w:r w:rsidRPr="001A02FB">
      <w:rPr>
        <w:sz w:val="10"/>
        <w:szCs w:val="10"/>
        <w:lang w:val="en-GB"/>
      </w:rPr>
      <w:t> </w:t>
    </w:r>
    <w:r w:rsidRPr="001A02FB">
      <w:rPr>
        <w:b/>
        <w:bCs/>
        <w:sz w:val="10"/>
        <w:szCs w:val="10"/>
        <w:lang w:val="en-GB"/>
      </w:rPr>
      <w:t>Structured Products</w:t>
    </w:r>
    <w:r w:rsidRPr="001A02FB">
      <w:rPr>
        <w:sz w:val="10"/>
        <w:szCs w:val="10"/>
        <w:lang w:val="en-GB"/>
      </w:rPr>
      <w:t>: The financial products in this document do not qualify as units of a collective investment scheme in the meaning of Article 7 et seqq. of the Swiss Federal Act on Collective Investment Schemes (CISA) and are therefore neither supervised by the Swiss Financial Market Supervisory Authority (FINMA) nor registered with FINMA. Investors do not benefit from the specific investor protection provided under CISA. </w:t>
    </w:r>
  </w:p>
  <w:p w14:paraId="3C5FE447" w14:textId="77777777" w:rsidR="002F0246" w:rsidRPr="001A02FB" w:rsidRDefault="002F0246" w:rsidP="003A192C">
    <w:pPr>
      <w:jc w:val="both"/>
      <w:rPr>
        <w:sz w:val="10"/>
        <w:szCs w:val="10"/>
        <w:lang w:val="en-GB"/>
      </w:rPr>
    </w:pPr>
    <w:r w:rsidRPr="001A02FB">
      <w:rPr>
        <w:sz w:val="10"/>
        <w:szCs w:val="10"/>
        <w:lang w:val="en-GB"/>
      </w:rPr>
      <w:t xml:space="preserve">No action has been or will be taken to permit a public offering of the financial products or possession or distribution of any offering material in relation to the financial products in any jurisdiction, where such action for that purpose is required. The most important jurisdictions where the financial products may not be publicly distributed are EEA, UK, Hong Kong and Singapore. The financial products may not be offered or sold within the USA, or to or for the account or benefit of US persons (as defined in Regulation S). It does not constitute a public offering, an offer to sell or a solicitation to buy any financial instruments and it is not research. It is not intended to form investment, legal or tax advice and should not be used as the basis for investment decisions. Before making an investment decision, you should obtain professional advice. Past performance is no indicator or guarantee of the future performance of a financial instrument. Individual services and products are subject to legal restrictions in certain countries. They may therefore not be offered throughout the world without restriction. All information is made without warranty to its currency, accuracy, or completeness. Aspermont Capital AG reserves the right to alter its services, products or prices at any time without prior notice. Aspermont Capital AG rejects </w:t>
    </w:r>
    <w:proofErr w:type="gramStart"/>
    <w:r w:rsidRPr="001A02FB">
      <w:rPr>
        <w:sz w:val="10"/>
        <w:szCs w:val="10"/>
        <w:lang w:val="en-GB"/>
      </w:rPr>
      <w:t>any and all</w:t>
    </w:r>
    <w:proofErr w:type="gramEnd"/>
    <w:r w:rsidRPr="001A02FB">
      <w:rPr>
        <w:sz w:val="10"/>
        <w:szCs w:val="10"/>
        <w:lang w:val="en-GB"/>
      </w:rPr>
      <w:t xml:space="preserve"> liability for incorrect or incomplete information. No responsibility is assumed in case of unsolicited delivery. Complete or partial reproduction without the express consent of Aspermont Capital AG is not permitted. </w:t>
    </w:r>
  </w:p>
  <w:bookmarkEnd w:id="2"/>
  <w:p w14:paraId="45C54678" w14:textId="24C958A7" w:rsidR="002F0246" w:rsidRDefault="002F0246" w:rsidP="003A192C">
    <w:pPr>
      <w:pStyle w:val="Footer"/>
      <w:jc w:val="both"/>
      <w:rPr>
        <w:sz w:val="10"/>
        <w:szCs w:val="10"/>
        <w:lang w:val="en-GB"/>
      </w:rPr>
    </w:pPr>
    <w:r w:rsidRPr="001A02FB">
      <w:rPr>
        <w:sz w:val="10"/>
        <w:szCs w:val="10"/>
        <w:lang w:val="en-GB"/>
      </w:rPr>
      <w:t xml:space="preserve">The relevant product documentation of the financial products can be obtained directly at Aspermont Capital AG, </w:t>
    </w:r>
    <w:proofErr w:type="spellStart"/>
    <w:r w:rsidRPr="001A02FB">
      <w:rPr>
        <w:sz w:val="10"/>
        <w:szCs w:val="10"/>
        <w:lang w:val="en-GB"/>
      </w:rPr>
      <w:t>Loewenstrasse</w:t>
    </w:r>
    <w:proofErr w:type="spellEnd"/>
    <w:r w:rsidRPr="001A02FB">
      <w:rPr>
        <w:sz w:val="10"/>
        <w:szCs w:val="10"/>
        <w:lang w:val="en-GB"/>
      </w:rPr>
      <w:t xml:space="preserve"> 66, CH-8001 Zurich, via telephone +41 43 888 66 44 or via email </w:t>
    </w:r>
    <w:hyperlink r:id="rId1" w:history="1">
      <w:r w:rsidRPr="001A02FB">
        <w:rPr>
          <w:rStyle w:val="Hyperlink"/>
          <w:sz w:val="10"/>
          <w:szCs w:val="10"/>
          <w:lang w:val="en-GB"/>
        </w:rPr>
        <w:t>info@ascap.ch</w:t>
      </w:r>
    </w:hyperlink>
    <w:r w:rsidRPr="001A02FB">
      <w:rPr>
        <w:sz w:val="10"/>
        <w:szCs w:val="10"/>
        <w:lang w:val="en-GB"/>
      </w:rPr>
      <w:t xml:space="preserve"> .  </w:t>
    </w:r>
  </w:p>
  <w:p w14:paraId="3C2D38CB" w14:textId="77777777" w:rsidR="002F0246" w:rsidRDefault="002F0246" w:rsidP="002F0246">
    <w:pPr>
      <w:pStyle w:val="Footer"/>
    </w:pPr>
    <w:r w:rsidRPr="001A02FB">
      <w:rPr>
        <w:sz w:val="10"/>
        <w:szCs w:val="10"/>
        <w:lang w:val="en-GB"/>
      </w:rPr>
      <w:t>© Aspermont Capital AG 202</w:t>
    </w:r>
    <w:r>
      <w:rPr>
        <w:sz w:val="10"/>
        <w:szCs w:val="10"/>
        <w:lang w:val="en-GB"/>
      </w:rPr>
      <w:t>5</w:t>
    </w:r>
    <w:r w:rsidRPr="001A02FB">
      <w:rPr>
        <w:sz w:val="10"/>
        <w:szCs w:val="10"/>
        <w:lang w:val="en-GB"/>
      </w:rPr>
      <w:t>. All rights reserved.</w:t>
    </w:r>
    <w:r w:rsidRPr="001A02FB">
      <w:rPr>
        <w:sz w:val="8"/>
        <w:szCs w:val="8"/>
        <w:lang w:val="en-GB"/>
      </w:rPr>
      <w:t> </w:t>
    </w:r>
    <w:bookmarkEnd w:id="3"/>
    <w:bookmarkEnd w:id="4"/>
    <w:bookmarkEnd w:id="5"/>
    <w:bookmarkEnd w:id="6"/>
  </w:p>
  <w:p w14:paraId="04BE1369" w14:textId="77777777" w:rsidR="00825411" w:rsidRPr="002F0246" w:rsidRDefault="00825411" w:rsidP="002F02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D669F" w14:textId="77777777" w:rsidR="00D75D6E" w:rsidRDefault="00D75D6E">
      <w:pPr>
        <w:spacing w:after="0" w:line="240" w:lineRule="auto"/>
      </w:pPr>
      <w:r>
        <w:separator/>
      </w:r>
    </w:p>
  </w:footnote>
  <w:footnote w:type="continuationSeparator" w:id="0">
    <w:p w14:paraId="3E3C2560" w14:textId="77777777" w:rsidR="00D75D6E" w:rsidRDefault="00D75D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A7D9F" w14:textId="77777777" w:rsidR="00825411" w:rsidRDefault="00825411">
    <w:pPr>
      <w:pStyle w:val="Header"/>
      <w:jc w:val="right"/>
    </w:pPr>
    <w:r w:rsidRPr="00437B29">
      <w:rPr>
        <w:noProof/>
        <w:lang w:val="de-CH" w:eastAsia="de-CH"/>
      </w:rPr>
      <w:drawing>
        <wp:inline distT="0" distB="0" distL="0" distR="0" wp14:anchorId="686D5577" wp14:editId="45749EE8">
          <wp:extent cx="1314450" cy="209550"/>
          <wp:effectExtent l="19050" t="0" r="0" b="0"/>
          <wp:docPr id="1300811753" name="Picture 1" descr="Aspermont-FinServ_RGB_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permont-FinServ_RGB_L"/>
                  <pic:cNvPicPr>
                    <a:picLocks noChangeAspect="1" noChangeArrowheads="1"/>
                  </pic:cNvPicPr>
                </pic:nvPicPr>
                <pic:blipFill>
                  <a:blip r:embed="rId1"/>
                  <a:srcRect/>
                  <a:stretch>
                    <a:fillRect/>
                  </a:stretch>
                </pic:blipFill>
                <pic:spPr bwMode="auto">
                  <a:xfrm>
                    <a:off x="0" y="0"/>
                    <a:ext cx="1314450" cy="209550"/>
                  </a:xfrm>
                  <a:prstGeom prst="rect">
                    <a:avLst/>
                  </a:prstGeom>
                  <a:noFill/>
                  <a:ln w="9525">
                    <a:noFill/>
                    <a:miter lim="800000"/>
                    <a:headEnd/>
                    <a:tailEnd/>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411"/>
    <w:rsid w:val="0001235A"/>
    <w:rsid w:val="0001270F"/>
    <w:rsid w:val="00014017"/>
    <w:rsid w:val="000236D4"/>
    <w:rsid w:val="0003046D"/>
    <w:rsid w:val="00037037"/>
    <w:rsid w:val="000406D0"/>
    <w:rsid w:val="00063119"/>
    <w:rsid w:val="00064C2C"/>
    <w:rsid w:val="000651B4"/>
    <w:rsid w:val="00072C37"/>
    <w:rsid w:val="00073017"/>
    <w:rsid w:val="000819CB"/>
    <w:rsid w:val="00082B48"/>
    <w:rsid w:val="000A6B18"/>
    <w:rsid w:val="000B7B09"/>
    <w:rsid w:val="000E032B"/>
    <w:rsid w:val="000E0676"/>
    <w:rsid w:val="001026FF"/>
    <w:rsid w:val="001142C3"/>
    <w:rsid w:val="00135FAF"/>
    <w:rsid w:val="00143FC7"/>
    <w:rsid w:val="00145166"/>
    <w:rsid w:val="00151F42"/>
    <w:rsid w:val="001572CF"/>
    <w:rsid w:val="001606E1"/>
    <w:rsid w:val="001616E3"/>
    <w:rsid w:val="00161A5A"/>
    <w:rsid w:val="00182A34"/>
    <w:rsid w:val="001B35C0"/>
    <w:rsid w:val="001C4752"/>
    <w:rsid w:val="001E1EC7"/>
    <w:rsid w:val="001E6222"/>
    <w:rsid w:val="001F5A0A"/>
    <w:rsid w:val="00201F19"/>
    <w:rsid w:val="00210B89"/>
    <w:rsid w:val="00210FA3"/>
    <w:rsid w:val="00223AC0"/>
    <w:rsid w:val="0022613C"/>
    <w:rsid w:val="00226773"/>
    <w:rsid w:val="0023039A"/>
    <w:rsid w:val="002338C0"/>
    <w:rsid w:val="00237938"/>
    <w:rsid w:val="0025055B"/>
    <w:rsid w:val="002633E8"/>
    <w:rsid w:val="00265E7B"/>
    <w:rsid w:val="0026708B"/>
    <w:rsid w:val="0027471E"/>
    <w:rsid w:val="002826F3"/>
    <w:rsid w:val="00294E69"/>
    <w:rsid w:val="002957A4"/>
    <w:rsid w:val="00295B8A"/>
    <w:rsid w:val="002B6ECC"/>
    <w:rsid w:val="002C704C"/>
    <w:rsid w:val="002C7468"/>
    <w:rsid w:val="002D5ECE"/>
    <w:rsid w:val="002E787C"/>
    <w:rsid w:val="002F0246"/>
    <w:rsid w:val="002F035F"/>
    <w:rsid w:val="003001E1"/>
    <w:rsid w:val="00303CC4"/>
    <w:rsid w:val="00306F42"/>
    <w:rsid w:val="00313C04"/>
    <w:rsid w:val="0032060D"/>
    <w:rsid w:val="00335E17"/>
    <w:rsid w:val="00341611"/>
    <w:rsid w:val="00360D4B"/>
    <w:rsid w:val="00361A97"/>
    <w:rsid w:val="00364ECF"/>
    <w:rsid w:val="00365E7C"/>
    <w:rsid w:val="003806E2"/>
    <w:rsid w:val="00386536"/>
    <w:rsid w:val="003908E6"/>
    <w:rsid w:val="00390A40"/>
    <w:rsid w:val="00394C4C"/>
    <w:rsid w:val="00396E15"/>
    <w:rsid w:val="003A192C"/>
    <w:rsid w:val="003A3A5A"/>
    <w:rsid w:val="003A4BC5"/>
    <w:rsid w:val="003A7ED1"/>
    <w:rsid w:val="003B297B"/>
    <w:rsid w:val="003D16EC"/>
    <w:rsid w:val="003D1AF6"/>
    <w:rsid w:val="003D3B97"/>
    <w:rsid w:val="003D7DFE"/>
    <w:rsid w:val="003F042F"/>
    <w:rsid w:val="00400365"/>
    <w:rsid w:val="00401BD6"/>
    <w:rsid w:val="004161E0"/>
    <w:rsid w:val="004254CF"/>
    <w:rsid w:val="00426309"/>
    <w:rsid w:val="004319FB"/>
    <w:rsid w:val="00440303"/>
    <w:rsid w:val="00441265"/>
    <w:rsid w:val="00445A3D"/>
    <w:rsid w:val="004567BB"/>
    <w:rsid w:val="00460739"/>
    <w:rsid w:val="00460E9C"/>
    <w:rsid w:val="00466330"/>
    <w:rsid w:val="0047296C"/>
    <w:rsid w:val="00476941"/>
    <w:rsid w:val="00480FA7"/>
    <w:rsid w:val="004921F6"/>
    <w:rsid w:val="004958F0"/>
    <w:rsid w:val="004A4816"/>
    <w:rsid w:val="004D2C5A"/>
    <w:rsid w:val="004D61A6"/>
    <w:rsid w:val="004D67E9"/>
    <w:rsid w:val="00505BE4"/>
    <w:rsid w:val="00522424"/>
    <w:rsid w:val="00523AE9"/>
    <w:rsid w:val="00524585"/>
    <w:rsid w:val="00524B9A"/>
    <w:rsid w:val="005323D7"/>
    <w:rsid w:val="00544C10"/>
    <w:rsid w:val="0056451E"/>
    <w:rsid w:val="00575966"/>
    <w:rsid w:val="005864AA"/>
    <w:rsid w:val="005905B4"/>
    <w:rsid w:val="005946D8"/>
    <w:rsid w:val="00597C9F"/>
    <w:rsid w:val="005A3D27"/>
    <w:rsid w:val="005B0F2F"/>
    <w:rsid w:val="005B1D68"/>
    <w:rsid w:val="005B5B1F"/>
    <w:rsid w:val="005C0B50"/>
    <w:rsid w:val="005C4160"/>
    <w:rsid w:val="005C4A26"/>
    <w:rsid w:val="00610C26"/>
    <w:rsid w:val="00612EED"/>
    <w:rsid w:val="00613B67"/>
    <w:rsid w:val="00615FB4"/>
    <w:rsid w:val="00637297"/>
    <w:rsid w:val="006425AA"/>
    <w:rsid w:val="00643D07"/>
    <w:rsid w:val="00647E72"/>
    <w:rsid w:val="00674BEF"/>
    <w:rsid w:val="0068089E"/>
    <w:rsid w:val="006857CD"/>
    <w:rsid w:val="00685CAA"/>
    <w:rsid w:val="006936C3"/>
    <w:rsid w:val="00693B87"/>
    <w:rsid w:val="006A02BB"/>
    <w:rsid w:val="006A12AA"/>
    <w:rsid w:val="006A2D10"/>
    <w:rsid w:val="006A3293"/>
    <w:rsid w:val="006A58AF"/>
    <w:rsid w:val="006A7B1D"/>
    <w:rsid w:val="006B0CDC"/>
    <w:rsid w:val="006B4BC4"/>
    <w:rsid w:val="006B7D2C"/>
    <w:rsid w:val="006B7F5C"/>
    <w:rsid w:val="006D13B5"/>
    <w:rsid w:val="006D3DFA"/>
    <w:rsid w:val="006E41DC"/>
    <w:rsid w:val="006E501C"/>
    <w:rsid w:val="006E7766"/>
    <w:rsid w:val="006F14EB"/>
    <w:rsid w:val="006F2FDD"/>
    <w:rsid w:val="00701829"/>
    <w:rsid w:val="00702F72"/>
    <w:rsid w:val="00704DBD"/>
    <w:rsid w:val="00711A58"/>
    <w:rsid w:val="007264CB"/>
    <w:rsid w:val="00726B3B"/>
    <w:rsid w:val="0073323C"/>
    <w:rsid w:val="00735F36"/>
    <w:rsid w:val="00744B50"/>
    <w:rsid w:val="00744CFF"/>
    <w:rsid w:val="0076259D"/>
    <w:rsid w:val="007647CE"/>
    <w:rsid w:val="00781629"/>
    <w:rsid w:val="00786EC3"/>
    <w:rsid w:val="00797C08"/>
    <w:rsid w:val="007A7BC9"/>
    <w:rsid w:val="007B287B"/>
    <w:rsid w:val="007C7FA4"/>
    <w:rsid w:val="007D362F"/>
    <w:rsid w:val="007D5BE5"/>
    <w:rsid w:val="007D5DDA"/>
    <w:rsid w:val="007E6153"/>
    <w:rsid w:val="00814793"/>
    <w:rsid w:val="00821A7B"/>
    <w:rsid w:val="00825411"/>
    <w:rsid w:val="008267A9"/>
    <w:rsid w:val="008426BA"/>
    <w:rsid w:val="00847F17"/>
    <w:rsid w:val="008514A0"/>
    <w:rsid w:val="008556CB"/>
    <w:rsid w:val="00860B74"/>
    <w:rsid w:val="00880679"/>
    <w:rsid w:val="00885948"/>
    <w:rsid w:val="008A5AFE"/>
    <w:rsid w:val="008A6D84"/>
    <w:rsid w:val="008B1DBC"/>
    <w:rsid w:val="008B5AF8"/>
    <w:rsid w:val="008B7F94"/>
    <w:rsid w:val="008E102D"/>
    <w:rsid w:val="008E3A4B"/>
    <w:rsid w:val="008E5CB9"/>
    <w:rsid w:val="008E6AD0"/>
    <w:rsid w:val="00900534"/>
    <w:rsid w:val="0090389D"/>
    <w:rsid w:val="00905847"/>
    <w:rsid w:val="00915C8A"/>
    <w:rsid w:val="009174AB"/>
    <w:rsid w:val="00924920"/>
    <w:rsid w:val="00925D5E"/>
    <w:rsid w:val="0092622C"/>
    <w:rsid w:val="00927A2F"/>
    <w:rsid w:val="009347F6"/>
    <w:rsid w:val="00934B67"/>
    <w:rsid w:val="009363EE"/>
    <w:rsid w:val="00940559"/>
    <w:rsid w:val="0094086E"/>
    <w:rsid w:val="00944B4C"/>
    <w:rsid w:val="00945C84"/>
    <w:rsid w:val="0095277D"/>
    <w:rsid w:val="00960ECD"/>
    <w:rsid w:val="00963FC9"/>
    <w:rsid w:val="00981FE5"/>
    <w:rsid w:val="00982FBE"/>
    <w:rsid w:val="00983F56"/>
    <w:rsid w:val="00984E54"/>
    <w:rsid w:val="00990D06"/>
    <w:rsid w:val="009A0CDF"/>
    <w:rsid w:val="009C389C"/>
    <w:rsid w:val="009C7578"/>
    <w:rsid w:val="009D2F79"/>
    <w:rsid w:val="009D6495"/>
    <w:rsid w:val="00A069DD"/>
    <w:rsid w:val="00A07C36"/>
    <w:rsid w:val="00A111AD"/>
    <w:rsid w:val="00A119DB"/>
    <w:rsid w:val="00A14D0B"/>
    <w:rsid w:val="00A1653A"/>
    <w:rsid w:val="00A178BE"/>
    <w:rsid w:val="00A2019A"/>
    <w:rsid w:val="00A223E3"/>
    <w:rsid w:val="00A251D2"/>
    <w:rsid w:val="00A51F25"/>
    <w:rsid w:val="00A61BDD"/>
    <w:rsid w:val="00A6577A"/>
    <w:rsid w:val="00A75B3E"/>
    <w:rsid w:val="00A87280"/>
    <w:rsid w:val="00A91ABD"/>
    <w:rsid w:val="00A96923"/>
    <w:rsid w:val="00AA2B1C"/>
    <w:rsid w:val="00AA474E"/>
    <w:rsid w:val="00AB7BD7"/>
    <w:rsid w:val="00AE6A3C"/>
    <w:rsid w:val="00B231E7"/>
    <w:rsid w:val="00B2588C"/>
    <w:rsid w:val="00B303EC"/>
    <w:rsid w:val="00B3116A"/>
    <w:rsid w:val="00B36145"/>
    <w:rsid w:val="00B3688C"/>
    <w:rsid w:val="00B41D61"/>
    <w:rsid w:val="00B57241"/>
    <w:rsid w:val="00B62C25"/>
    <w:rsid w:val="00B73183"/>
    <w:rsid w:val="00B7478F"/>
    <w:rsid w:val="00B748E7"/>
    <w:rsid w:val="00B765AB"/>
    <w:rsid w:val="00B82C55"/>
    <w:rsid w:val="00BA298E"/>
    <w:rsid w:val="00BA3728"/>
    <w:rsid w:val="00BA4EA1"/>
    <w:rsid w:val="00BE4445"/>
    <w:rsid w:val="00BF0D32"/>
    <w:rsid w:val="00BF1968"/>
    <w:rsid w:val="00BF25AA"/>
    <w:rsid w:val="00BF2FBD"/>
    <w:rsid w:val="00C005DE"/>
    <w:rsid w:val="00C04C96"/>
    <w:rsid w:val="00C12270"/>
    <w:rsid w:val="00C23801"/>
    <w:rsid w:val="00C3341B"/>
    <w:rsid w:val="00C33AB8"/>
    <w:rsid w:val="00C3490B"/>
    <w:rsid w:val="00C4239C"/>
    <w:rsid w:val="00C45C16"/>
    <w:rsid w:val="00C4745C"/>
    <w:rsid w:val="00C54D9D"/>
    <w:rsid w:val="00C60611"/>
    <w:rsid w:val="00C6465B"/>
    <w:rsid w:val="00C66394"/>
    <w:rsid w:val="00C730EB"/>
    <w:rsid w:val="00C851A1"/>
    <w:rsid w:val="00C86469"/>
    <w:rsid w:val="00C87C01"/>
    <w:rsid w:val="00C93970"/>
    <w:rsid w:val="00CA4B1C"/>
    <w:rsid w:val="00CA6841"/>
    <w:rsid w:val="00CA7CB0"/>
    <w:rsid w:val="00CB38E5"/>
    <w:rsid w:val="00CC15B0"/>
    <w:rsid w:val="00CC785F"/>
    <w:rsid w:val="00CF29BA"/>
    <w:rsid w:val="00CF315B"/>
    <w:rsid w:val="00CF3D80"/>
    <w:rsid w:val="00CF7605"/>
    <w:rsid w:val="00D00F59"/>
    <w:rsid w:val="00D10A98"/>
    <w:rsid w:val="00D17087"/>
    <w:rsid w:val="00D220A0"/>
    <w:rsid w:val="00D27F80"/>
    <w:rsid w:val="00D33630"/>
    <w:rsid w:val="00D37953"/>
    <w:rsid w:val="00D41963"/>
    <w:rsid w:val="00D47FBE"/>
    <w:rsid w:val="00D71BF5"/>
    <w:rsid w:val="00D75D6E"/>
    <w:rsid w:val="00D81135"/>
    <w:rsid w:val="00DA11BB"/>
    <w:rsid w:val="00DA188E"/>
    <w:rsid w:val="00DA632B"/>
    <w:rsid w:val="00DB071D"/>
    <w:rsid w:val="00DC3B5C"/>
    <w:rsid w:val="00DC5CF9"/>
    <w:rsid w:val="00DD1E81"/>
    <w:rsid w:val="00DE050B"/>
    <w:rsid w:val="00DE5211"/>
    <w:rsid w:val="00DF7DD7"/>
    <w:rsid w:val="00E047A5"/>
    <w:rsid w:val="00E06C99"/>
    <w:rsid w:val="00E12761"/>
    <w:rsid w:val="00E162C2"/>
    <w:rsid w:val="00E22C5B"/>
    <w:rsid w:val="00E3036B"/>
    <w:rsid w:val="00E319EC"/>
    <w:rsid w:val="00E354F2"/>
    <w:rsid w:val="00E359B4"/>
    <w:rsid w:val="00E36B3E"/>
    <w:rsid w:val="00E44CA8"/>
    <w:rsid w:val="00E511AB"/>
    <w:rsid w:val="00E574A1"/>
    <w:rsid w:val="00E71D50"/>
    <w:rsid w:val="00E769A2"/>
    <w:rsid w:val="00E85880"/>
    <w:rsid w:val="00E859DA"/>
    <w:rsid w:val="00E91F08"/>
    <w:rsid w:val="00E94D16"/>
    <w:rsid w:val="00E97D50"/>
    <w:rsid w:val="00EA47D3"/>
    <w:rsid w:val="00EA68D8"/>
    <w:rsid w:val="00EB2A04"/>
    <w:rsid w:val="00EC1F34"/>
    <w:rsid w:val="00ED0ACB"/>
    <w:rsid w:val="00ED6C2B"/>
    <w:rsid w:val="00EF027B"/>
    <w:rsid w:val="00EF7EB3"/>
    <w:rsid w:val="00F03760"/>
    <w:rsid w:val="00F064AC"/>
    <w:rsid w:val="00F1062A"/>
    <w:rsid w:val="00F10909"/>
    <w:rsid w:val="00F13114"/>
    <w:rsid w:val="00F13AC3"/>
    <w:rsid w:val="00F23460"/>
    <w:rsid w:val="00F3381C"/>
    <w:rsid w:val="00F413DD"/>
    <w:rsid w:val="00F45BB7"/>
    <w:rsid w:val="00F529EE"/>
    <w:rsid w:val="00F52BF2"/>
    <w:rsid w:val="00F5400B"/>
    <w:rsid w:val="00F55104"/>
    <w:rsid w:val="00F6013C"/>
    <w:rsid w:val="00F62652"/>
    <w:rsid w:val="00F645CB"/>
    <w:rsid w:val="00F905AD"/>
    <w:rsid w:val="00F9063E"/>
    <w:rsid w:val="00FA316A"/>
    <w:rsid w:val="00FA75B1"/>
    <w:rsid w:val="00FC2E48"/>
    <w:rsid w:val="00FC6E0C"/>
    <w:rsid w:val="00FD4D7B"/>
    <w:rsid w:val="00FE374D"/>
    <w:rsid w:val="00FF0411"/>
    <w:rsid w:val="00FF1F4A"/>
    <w:rsid w:val="00FF4B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CC5A31"/>
  <w15:chartTrackingRefBased/>
  <w15:docId w15:val="{B6C175F6-EEFC-4A68-B78A-F8C8C6FD8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5411"/>
    <w:pPr>
      <w:spacing w:after="200" w:line="276" w:lineRule="auto"/>
    </w:pPr>
    <w:rPr>
      <w:rFonts w:eastAsiaTheme="minorEastAsia"/>
      <w:kern w:val="0"/>
      <w:lang w:val="en-CA" w:eastAsia="en-CA"/>
      <w14:ligatures w14:val="none"/>
    </w:rPr>
  </w:style>
  <w:style w:type="paragraph" w:styleId="Heading1">
    <w:name w:val="heading 1"/>
    <w:basedOn w:val="Normal"/>
    <w:next w:val="Normal"/>
    <w:link w:val="Heading1Char"/>
    <w:uiPriority w:val="9"/>
    <w:qFormat/>
    <w:rsid w:val="00825411"/>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5411"/>
    <w:rPr>
      <w:rFonts w:asciiTheme="majorHAnsi" w:eastAsiaTheme="majorEastAsia" w:hAnsiTheme="majorHAnsi" w:cstheme="majorBidi"/>
      <w:b/>
      <w:bCs/>
      <w:color w:val="2F5496" w:themeColor="accent1" w:themeShade="BF"/>
      <w:kern w:val="0"/>
      <w:sz w:val="28"/>
      <w:szCs w:val="28"/>
      <w:lang w:val="en-CA" w:eastAsia="en-CA"/>
      <w14:ligatures w14:val="none"/>
    </w:rPr>
  </w:style>
  <w:style w:type="table" w:styleId="TableGrid">
    <w:name w:val="Table Grid"/>
    <w:basedOn w:val="TableNormal"/>
    <w:uiPriority w:val="59"/>
    <w:rsid w:val="00825411"/>
    <w:pPr>
      <w:spacing w:after="0" w:line="240" w:lineRule="auto"/>
    </w:pPr>
    <w:rPr>
      <w:rFonts w:eastAsiaTheme="minorEastAsia"/>
      <w:kern w:val="0"/>
      <w:lang w:val="en-CA" w:eastAsia="en-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25411"/>
    <w:pPr>
      <w:tabs>
        <w:tab w:val="center" w:pos="4703"/>
        <w:tab w:val="right" w:pos="9406"/>
      </w:tabs>
      <w:spacing w:after="0" w:line="240" w:lineRule="auto"/>
    </w:pPr>
  </w:style>
  <w:style w:type="character" w:customStyle="1" w:styleId="HeaderChar">
    <w:name w:val="Header Char"/>
    <w:basedOn w:val="DefaultParagraphFont"/>
    <w:link w:val="Header"/>
    <w:uiPriority w:val="99"/>
    <w:rsid w:val="00825411"/>
    <w:rPr>
      <w:rFonts w:eastAsiaTheme="minorEastAsia"/>
      <w:kern w:val="0"/>
      <w:lang w:val="en-CA" w:eastAsia="en-CA"/>
      <w14:ligatures w14:val="none"/>
    </w:rPr>
  </w:style>
  <w:style w:type="paragraph" w:styleId="Footer">
    <w:name w:val="footer"/>
    <w:basedOn w:val="Normal"/>
    <w:link w:val="FooterChar"/>
    <w:uiPriority w:val="99"/>
    <w:unhideWhenUsed/>
    <w:rsid w:val="00825411"/>
    <w:pPr>
      <w:tabs>
        <w:tab w:val="center" w:pos="4703"/>
        <w:tab w:val="right" w:pos="9406"/>
      </w:tabs>
      <w:spacing w:after="0" w:line="240" w:lineRule="auto"/>
    </w:pPr>
  </w:style>
  <w:style w:type="character" w:customStyle="1" w:styleId="FooterChar">
    <w:name w:val="Footer Char"/>
    <w:basedOn w:val="DefaultParagraphFont"/>
    <w:link w:val="Footer"/>
    <w:uiPriority w:val="99"/>
    <w:rsid w:val="00825411"/>
    <w:rPr>
      <w:rFonts w:eastAsiaTheme="minorEastAsia"/>
      <w:kern w:val="0"/>
      <w:lang w:val="en-CA" w:eastAsia="en-CA"/>
      <w14:ligatures w14:val="none"/>
    </w:rPr>
  </w:style>
  <w:style w:type="character" w:styleId="Hyperlink">
    <w:name w:val="Hyperlink"/>
    <w:basedOn w:val="DefaultParagraphFont"/>
    <w:uiPriority w:val="99"/>
    <w:unhideWhenUsed/>
    <w:rsid w:val="0082541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nfo@ascap.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F69E17-CE6D-4CE1-9858-B523EFC08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786</Words>
  <Characters>4481</Characters>
  <Application>Microsoft Office Word</Application>
  <DocSecurity>0</DocSecurity>
  <Lines>37</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 Analyst</dc:creator>
  <cp:keywords/>
  <dc:description/>
  <cp:lastModifiedBy>Financial analyst</cp:lastModifiedBy>
  <cp:revision>7</cp:revision>
  <cp:lastPrinted>2026-05-08T09:25:00Z</cp:lastPrinted>
  <dcterms:created xsi:type="dcterms:W3CDTF">2026-05-08T08:55:00Z</dcterms:created>
  <dcterms:modified xsi:type="dcterms:W3CDTF">2026-05-18T11:33:00Z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5b4b3770f2024bbc7f0032c7cec8a064529e3e17c05e680f8c734955d707d645</vt:lpwstr>
  </property>
</Properties>
</file>