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9070"/>
      </w:tblGrid>
      <w:tr w:rsidR="00C31077" w:rsidRPr="00016181" w14:paraId="3D64C2E5" w14:textId="77777777" w:rsidTr="00C31077">
        <w:tc>
          <w:tcPr>
            <w:tcW w:w="9212" w:type="dxa"/>
          </w:tcPr>
          <w:p w14:paraId="11FD4C4C" w14:textId="20A1BB96" w:rsidR="00C31077" w:rsidRPr="00835938" w:rsidRDefault="00F12664" w:rsidP="0009796D">
            <w:pPr>
              <w:pStyle w:val="Heading1"/>
              <w:rPr>
                <w:rFonts w:asciiTheme="minorHAnsi" w:hAnsiTheme="minorHAnsi"/>
                <w:color w:val="C00000"/>
                <w:sz w:val="48"/>
                <w:lang w:val="en-US"/>
              </w:rPr>
            </w:pPr>
            <w:r>
              <w:rPr>
                <w:rFonts w:asciiTheme="minorHAnsi" w:hAnsiTheme="minorHAnsi"/>
                <w:color w:val="C00000"/>
                <w:sz w:val="40"/>
                <w:lang w:val="en-US"/>
              </w:rPr>
              <w:t xml:space="preserve"> </w:t>
            </w:r>
            <w:r w:rsidR="00C31077" w:rsidRPr="007002A3">
              <w:rPr>
                <w:rFonts w:asciiTheme="minorHAnsi" w:hAnsiTheme="minorHAnsi"/>
                <w:color w:val="C00000"/>
                <w:sz w:val="40"/>
                <w:lang w:val="en-US"/>
              </w:rPr>
              <w:t xml:space="preserve">AMC Aspermont </w:t>
            </w:r>
            <w:r w:rsidR="007002A3" w:rsidRPr="007002A3">
              <w:rPr>
                <w:rFonts w:asciiTheme="minorHAnsi" w:hAnsiTheme="minorHAnsi"/>
                <w:color w:val="C00000"/>
                <w:sz w:val="40"/>
                <w:lang w:val="en-US"/>
              </w:rPr>
              <w:t xml:space="preserve">European </w:t>
            </w:r>
            <w:r w:rsidR="0009796D" w:rsidRPr="007002A3">
              <w:rPr>
                <w:rFonts w:asciiTheme="minorHAnsi" w:hAnsiTheme="minorHAnsi"/>
                <w:color w:val="C00000"/>
                <w:sz w:val="40"/>
                <w:lang w:val="en-US"/>
              </w:rPr>
              <w:t>Equity Rotator</w:t>
            </w:r>
            <w:r w:rsidR="00C31077" w:rsidRPr="007002A3">
              <w:rPr>
                <w:rFonts w:asciiTheme="minorHAnsi" w:hAnsiTheme="minorHAnsi"/>
                <w:color w:val="C00000"/>
                <w:sz w:val="40"/>
                <w:lang w:val="en-US"/>
              </w:rPr>
              <w:t xml:space="preserve"> Basket</w:t>
            </w:r>
          </w:p>
        </w:tc>
      </w:tr>
    </w:tbl>
    <w:p w14:paraId="5D95A960" w14:textId="392C4C96" w:rsidR="00437B29" w:rsidRDefault="00437B29" w:rsidP="00613F03">
      <w:pPr>
        <w:spacing w:before="120" w:after="120"/>
        <w:jc w:val="center"/>
        <w:rPr>
          <w:b/>
          <w:sz w:val="24"/>
          <w:lang w:val="en-US"/>
        </w:rPr>
      </w:pPr>
      <w:r w:rsidRPr="00835938">
        <w:rPr>
          <w:b/>
          <w:sz w:val="24"/>
          <w:lang w:val="en-US"/>
        </w:rPr>
        <w:t xml:space="preserve">Product update as </w:t>
      </w:r>
      <w:r w:rsidR="00741D60">
        <w:rPr>
          <w:b/>
          <w:sz w:val="24"/>
          <w:lang w:val="en-US"/>
        </w:rPr>
        <w:t xml:space="preserve">April </w:t>
      </w:r>
      <w:r w:rsidR="006F73B5">
        <w:rPr>
          <w:b/>
          <w:sz w:val="24"/>
          <w:lang w:val="en-US"/>
        </w:rPr>
        <w:t>3</w:t>
      </w:r>
      <w:r w:rsidR="00741D60">
        <w:rPr>
          <w:b/>
          <w:sz w:val="24"/>
          <w:lang w:val="en-US"/>
        </w:rPr>
        <w:t>0</w:t>
      </w:r>
      <w:r w:rsidR="00650AC2">
        <w:rPr>
          <w:b/>
          <w:sz w:val="24"/>
          <w:lang w:val="en-US"/>
        </w:rPr>
        <w:t>, 2026</w:t>
      </w:r>
    </w:p>
    <w:p w14:paraId="518FAE14" w14:textId="5649005B" w:rsidR="008C618B" w:rsidRPr="00375E83" w:rsidRDefault="0009796D" w:rsidP="008C618B">
      <w:pPr>
        <w:spacing w:after="0"/>
        <w:rPr>
          <w:b/>
          <w:sz w:val="18"/>
          <w:lang w:val="en-US"/>
        </w:rPr>
      </w:pPr>
      <w:r w:rsidRPr="00375E83">
        <w:rPr>
          <w:b/>
          <w:sz w:val="18"/>
          <w:lang w:val="en-US"/>
        </w:rPr>
        <w:t>Certificate price</w:t>
      </w:r>
      <w:r w:rsidR="00527500">
        <w:rPr>
          <w:b/>
          <w:sz w:val="18"/>
          <w:lang w:val="en-US"/>
        </w:rPr>
        <w:t xml:space="preserve"> </w:t>
      </w:r>
      <w:r w:rsidR="0094752E" w:rsidRPr="00375E83">
        <w:rPr>
          <w:b/>
          <w:sz w:val="18"/>
          <w:lang w:val="en-US"/>
        </w:rPr>
        <w:t>(</w:t>
      </w:r>
      <w:r w:rsidR="00741D60">
        <w:rPr>
          <w:b/>
          <w:sz w:val="18"/>
          <w:lang w:val="en-US"/>
        </w:rPr>
        <w:t>Apr 30</w:t>
      </w:r>
      <w:r w:rsidR="00271153">
        <w:rPr>
          <w:b/>
          <w:sz w:val="18"/>
          <w:lang w:val="en-US"/>
        </w:rPr>
        <w:t>,</w:t>
      </w:r>
      <w:r w:rsidR="0094752E" w:rsidRPr="00375E83">
        <w:rPr>
          <w:b/>
          <w:sz w:val="18"/>
          <w:lang w:val="en-US"/>
        </w:rPr>
        <w:t xml:space="preserve"> </w:t>
      </w:r>
      <w:r w:rsidR="0094752E" w:rsidRPr="00BF7177">
        <w:rPr>
          <w:b/>
          <w:sz w:val="18"/>
          <w:lang w:val="en-US"/>
        </w:rPr>
        <w:t>20</w:t>
      </w:r>
      <w:r w:rsidR="001F1DF5">
        <w:rPr>
          <w:b/>
          <w:sz w:val="18"/>
          <w:lang w:val="en-US"/>
        </w:rPr>
        <w:t>2</w:t>
      </w:r>
      <w:r w:rsidR="00650AC2">
        <w:rPr>
          <w:b/>
          <w:sz w:val="18"/>
          <w:lang w:val="en-US"/>
        </w:rPr>
        <w:t>6</w:t>
      </w:r>
      <w:r w:rsidR="0094752E" w:rsidRPr="00731B8A">
        <w:rPr>
          <w:b/>
          <w:sz w:val="18"/>
          <w:lang w:val="en-US"/>
        </w:rPr>
        <w:t>)</w:t>
      </w:r>
      <w:r w:rsidR="00091112" w:rsidRPr="00731B8A">
        <w:rPr>
          <w:b/>
          <w:sz w:val="18"/>
          <w:lang w:val="en-US"/>
        </w:rPr>
        <w:t xml:space="preserve">: </w:t>
      </w:r>
      <w:r w:rsidR="00480BA9" w:rsidRPr="008A0C0D">
        <w:rPr>
          <w:b/>
          <w:sz w:val="18"/>
          <w:lang w:val="en-US"/>
        </w:rPr>
        <w:t xml:space="preserve">EUR </w:t>
      </w:r>
      <w:r w:rsidR="00741D60">
        <w:rPr>
          <w:b/>
          <w:sz w:val="18"/>
          <w:lang w:val="en-US"/>
        </w:rPr>
        <w:t>155.56</w:t>
      </w:r>
      <w:r w:rsidR="00480BA9" w:rsidRPr="008A0C0D">
        <w:rPr>
          <w:b/>
          <w:sz w:val="18"/>
          <w:lang w:val="en-US"/>
        </w:rPr>
        <w:t xml:space="preserve"> monthly performance:</w:t>
      </w:r>
      <w:r w:rsidR="007E60A2" w:rsidRPr="00731B8A">
        <w:rPr>
          <w:b/>
          <w:sz w:val="18"/>
          <w:lang w:val="en-US"/>
        </w:rPr>
        <w:t xml:space="preserve"> </w:t>
      </w:r>
      <w:r w:rsidR="00741D60">
        <w:rPr>
          <w:b/>
          <w:sz w:val="18"/>
          <w:lang w:val="en-US"/>
        </w:rPr>
        <w:t>5.06</w:t>
      </w:r>
      <w:r w:rsidR="00091112" w:rsidRPr="00731B8A">
        <w:rPr>
          <w:b/>
          <w:sz w:val="18"/>
          <w:lang w:val="en-US"/>
        </w:rPr>
        <w:t>%</w:t>
      </w:r>
      <w:r w:rsidR="008C618B" w:rsidRPr="00731B8A">
        <w:rPr>
          <w:b/>
          <w:sz w:val="18"/>
          <w:lang w:val="en-US"/>
        </w:rPr>
        <w:t>, YTD:</w:t>
      </w:r>
      <w:r w:rsidR="00737D24">
        <w:rPr>
          <w:b/>
          <w:sz w:val="18"/>
          <w:lang w:val="en-US"/>
        </w:rPr>
        <w:t xml:space="preserve"> </w:t>
      </w:r>
      <w:r w:rsidR="00741D60">
        <w:rPr>
          <w:b/>
          <w:sz w:val="18"/>
          <w:lang w:val="en-US"/>
        </w:rPr>
        <w:t>1.49</w:t>
      </w:r>
      <w:r w:rsidR="00531F87" w:rsidRPr="00731B8A">
        <w:rPr>
          <w:b/>
          <w:sz w:val="18"/>
          <w:lang w:val="en-US"/>
        </w:rPr>
        <w:t>%</w:t>
      </w:r>
      <w:r w:rsidR="00527500" w:rsidRPr="00731B8A">
        <w:rPr>
          <w:b/>
          <w:sz w:val="18"/>
          <w:lang w:val="en-US"/>
        </w:rPr>
        <w:t xml:space="preserve">, </w:t>
      </w:r>
      <w:r w:rsidR="00375E83" w:rsidRPr="00731B8A">
        <w:rPr>
          <w:b/>
          <w:sz w:val="18"/>
          <w:lang w:val="en-US"/>
        </w:rPr>
        <w:t xml:space="preserve">since inception: </w:t>
      </w:r>
      <w:r w:rsidR="00D14A66" w:rsidRPr="00731B8A">
        <w:rPr>
          <w:b/>
          <w:sz w:val="18"/>
          <w:lang w:val="en-US"/>
        </w:rPr>
        <w:t>+</w:t>
      </w:r>
      <w:r w:rsidR="00741D60">
        <w:rPr>
          <w:b/>
          <w:sz w:val="18"/>
          <w:lang w:val="en-US"/>
        </w:rPr>
        <w:t>85.14</w:t>
      </w:r>
      <w:r w:rsidR="00D411DE">
        <w:rPr>
          <w:b/>
          <w:sz w:val="18"/>
          <w:lang w:val="en-US"/>
        </w:rPr>
        <w:t>%</w:t>
      </w:r>
    </w:p>
    <w:p w14:paraId="101605D1" w14:textId="77777777" w:rsidR="00307EFF" w:rsidRDefault="0085455F" w:rsidP="00331F6A">
      <w:pPr>
        <w:pStyle w:val="Heading1"/>
        <w:spacing w:before="240" w:after="120" w:line="240" w:lineRule="auto"/>
        <w:rPr>
          <w:rFonts w:asciiTheme="minorHAnsi" w:hAnsiTheme="minorHAnsi"/>
          <w:color w:val="C00000"/>
          <w:sz w:val="24"/>
          <w:lang w:val="en-US"/>
        </w:rPr>
      </w:pPr>
      <w:r w:rsidRPr="00835938">
        <w:rPr>
          <w:rFonts w:asciiTheme="minorHAnsi" w:hAnsiTheme="minorHAnsi"/>
          <w:color w:val="C00000"/>
          <w:sz w:val="24"/>
          <w:lang w:val="en-US"/>
        </w:rPr>
        <w:t xml:space="preserve">The Aspermont </w:t>
      </w:r>
      <w:r w:rsidR="007002A3">
        <w:rPr>
          <w:rFonts w:asciiTheme="minorHAnsi" w:hAnsiTheme="minorHAnsi"/>
          <w:color w:val="C00000"/>
          <w:sz w:val="24"/>
          <w:lang w:val="en-US"/>
        </w:rPr>
        <w:t xml:space="preserve">European </w:t>
      </w:r>
      <w:r w:rsidR="0009796D" w:rsidRPr="00835938">
        <w:rPr>
          <w:rFonts w:asciiTheme="minorHAnsi" w:hAnsiTheme="minorHAnsi"/>
          <w:color w:val="C00000"/>
          <w:sz w:val="24"/>
          <w:lang w:val="en-US"/>
        </w:rPr>
        <w:t>Equity Rotator</w:t>
      </w:r>
      <w:r w:rsidRPr="00835938">
        <w:rPr>
          <w:rFonts w:asciiTheme="minorHAnsi" w:hAnsiTheme="minorHAnsi"/>
          <w:color w:val="C00000"/>
          <w:sz w:val="24"/>
          <w:lang w:val="en-US"/>
        </w:rPr>
        <w:t xml:space="preserve"> Basket</w:t>
      </w:r>
    </w:p>
    <w:p w14:paraId="37E9E085" w14:textId="42393318" w:rsidR="00307EFF" w:rsidRDefault="00307EFF" w:rsidP="004668DC">
      <w:pPr>
        <w:spacing w:line="240" w:lineRule="auto"/>
        <w:ind w:right="-284"/>
        <w:jc w:val="both"/>
        <w:rPr>
          <w:sz w:val="18"/>
          <w:szCs w:val="18"/>
          <w:lang w:val="en-US"/>
        </w:rPr>
      </w:pPr>
      <w:r w:rsidRPr="00307EFF">
        <w:rPr>
          <w:sz w:val="18"/>
          <w:szCs w:val="18"/>
          <w:lang w:val="en-US"/>
        </w:rPr>
        <w:t>The Actively Managed Certificate (AMC) linked to the Aspermont</w:t>
      </w:r>
      <w:r w:rsidR="007002A3">
        <w:rPr>
          <w:sz w:val="18"/>
          <w:szCs w:val="18"/>
          <w:lang w:val="en-US"/>
        </w:rPr>
        <w:t xml:space="preserve"> European</w:t>
      </w:r>
      <w:r w:rsidRPr="00307EFF">
        <w:rPr>
          <w:sz w:val="18"/>
          <w:szCs w:val="18"/>
          <w:lang w:val="en-US"/>
        </w:rPr>
        <w:t xml:space="preserve"> Equity Rotator Basket gives investors the opportunity to invest in a dynamic, broadly diversified European equity portfolio. Since investments are made exclusively in indices, stock-specific risks are eliminated. The strategy is designed to give the manager the opportunity to add direct sector exposure</w:t>
      </w:r>
      <w:r w:rsidR="008C0330">
        <w:rPr>
          <w:sz w:val="18"/>
          <w:szCs w:val="18"/>
          <w:lang w:val="en-US"/>
        </w:rPr>
        <w:t xml:space="preserve"> by under/overweighting specific segment </w:t>
      </w:r>
      <w:r w:rsidR="005A6AF0">
        <w:rPr>
          <w:sz w:val="18"/>
          <w:szCs w:val="18"/>
          <w:lang w:val="en-US"/>
        </w:rPr>
        <w:t>compared</w:t>
      </w:r>
      <w:r w:rsidR="008C0330">
        <w:rPr>
          <w:sz w:val="18"/>
          <w:szCs w:val="18"/>
          <w:lang w:val="en-US"/>
        </w:rPr>
        <w:t xml:space="preserve"> to index weight</w:t>
      </w:r>
      <w:r w:rsidRPr="00307EFF">
        <w:rPr>
          <w:sz w:val="18"/>
          <w:szCs w:val="18"/>
          <w:lang w:val="en-US"/>
        </w:rPr>
        <w:t xml:space="preserve">. Target weightings are determined by both fundamental and technical aspects and are continuously reviewed and adjusted as necessary. We place emphasis on the relative strength indicator (RSI), which is a technical momentum indicator that compares the magnitude of recent gains to recent losses of the asset to identify overbought and oversold conditions. </w:t>
      </w:r>
    </w:p>
    <w:p w14:paraId="7AF98EA3" w14:textId="52E1F82D" w:rsidR="003665FD" w:rsidRPr="003665FD" w:rsidRDefault="008B0C4D" w:rsidP="003665FD">
      <w:pPr>
        <w:pStyle w:val="Heading1"/>
        <w:spacing w:before="240" w:after="120" w:line="240" w:lineRule="auto"/>
        <w:rPr>
          <w:rFonts w:asciiTheme="minorHAnsi" w:hAnsiTheme="minorHAnsi"/>
          <w:color w:val="C00000"/>
          <w:sz w:val="24"/>
          <w:lang w:val="en-US"/>
        </w:rPr>
      </w:pPr>
      <w:r w:rsidRPr="00835938">
        <w:rPr>
          <w:rFonts w:asciiTheme="minorHAnsi" w:hAnsiTheme="minorHAnsi"/>
          <w:color w:val="C00000"/>
          <w:sz w:val="24"/>
          <w:lang w:val="en-US"/>
        </w:rPr>
        <w:t xml:space="preserve">Manager’s </w:t>
      </w:r>
      <w:r w:rsidR="00845763" w:rsidRPr="00835938">
        <w:rPr>
          <w:rFonts w:asciiTheme="minorHAnsi" w:hAnsiTheme="minorHAnsi"/>
          <w:color w:val="C00000"/>
          <w:sz w:val="24"/>
          <w:lang w:val="en-US"/>
        </w:rPr>
        <w:t>Comment</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45"/>
        <w:gridCol w:w="165"/>
        <w:gridCol w:w="4371"/>
      </w:tblGrid>
      <w:tr w:rsidR="00E37603" w:rsidRPr="00E02585" w14:paraId="36390812" w14:textId="77777777" w:rsidTr="00E93068">
        <w:trPr>
          <w:trHeight w:val="6670"/>
          <w:jc w:val="center"/>
        </w:trPr>
        <w:tc>
          <w:tcPr>
            <w:tcW w:w="5245" w:type="dxa"/>
          </w:tcPr>
          <w:p w14:paraId="24CF6E76" w14:textId="05F8F8D4" w:rsidR="002010F5" w:rsidRPr="00F64526" w:rsidRDefault="002010F5" w:rsidP="002010F5">
            <w:pPr>
              <w:tabs>
                <w:tab w:val="left" w:pos="6073"/>
              </w:tabs>
              <w:spacing w:after="120"/>
              <w:ind w:left="293"/>
              <w:jc w:val="both"/>
              <w:rPr>
                <w:rFonts w:ascii="Calibri" w:eastAsia="Times New Roman" w:hAnsi="Calibri" w:cs="Calibri"/>
                <w:sz w:val="18"/>
                <w:szCs w:val="18"/>
                <w:lang w:val="en-US"/>
              </w:rPr>
            </w:pPr>
            <w:r w:rsidRPr="00F64526">
              <w:rPr>
                <w:rFonts w:ascii="Calibri" w:eastAsia="Times New Roman" w:hAnsi="Calibri" w:cs="Calibri"/>
                <w:sz w:val="18"/>
                <w:szCs w:val="18"/>
                <w:lang w:val="en-US"/>
              </w:rPr>
              <w:t xml:space="preserve">European stock markets </w:t>
            </w:r>
            <w:r w:rsidR="00741D60">
              <w:rPr>
                <w:rFonts w:ascii="Calibri" w:eastAsia="Times New Roman" w:hAnsi="Calibri" w:cs="Calibri"/>
                <w:sz w:val="18"/>
                <w:szCs w:val="18"/>
                <w:lang w:val="en-US"/>
              </w:rPr>
              <w:t xml:space="preserve">rebounded as peace talks appeared to start taking shape in </w:t>
            </w:r>
            <w:r w:rsidR="006D3350">
              <w:rPr>
                <w:rFonts w:ascii="Calibri" w:eastAsia="Times New Roman" w:hAnsi="Calibri" w:cs="Calibri"/>
                <w:sz w:val="18"/>
                <w:szCs w:val="18"/>
                <w:lang w:val="en-US"/>
              </w:rPr>
              <w:t>the Middle East;</w:t>
            </w:r>
            <w:r w:rsidR="004143FB" w:rsidRPr="00F64526">
              <w:rPr>
                <w:rFonts w:ascii="Calibri" w:eastAsia="Times New Roman" w:hAnsi="Calibri" w:cs="Calibri"/>
                <w:sz w:val="18"/>
                <w:szCs w:val="18"/>
                <w:lang w:val="en-US"/>
              </w:rPr>
              <w:t xml:space="preserve"> the</w:t>
            </w:r>
            <w:r w:rsidRPr="00F64526">
              <w:rPr>
                <w:rFonts w:ascii="Calibri" w:eastAsia="Times New Roman" w:hAnsi="Calibri" w:cs="Calibri"/>
                <w:sz w:val="18"/>
                <w:szCs w:val="18"/>
                <w:lang w:val="en-US"/>
              </w:rPr>
              <w:t xml:space="preserve"> broader STOXX Europe 600 Index </w:t>
            </w:r>
            <w:r w:rsidR="00741D60">
              <w:rPr>
                <w:rFonts w:ascii="Calibri" w:eastAsia="Times New Roman" w:hAnsi="Calibri" w:cs="Calibri"/>
                <w:sz w:val="18"/>
                <w:szCs w:val="18"/>
                <w:lang w:val="en-US"/>
              </w:rPr>
              <w:t>rebounded +4.83</w:t>
            </w:r>
            <w:r w:rsidRPr="00F64526">
              <w:rPr>
                <w:rFonts w:ascii="Calibri" w:eastAsia="Times New Roman" w:hAnsi="Calibri" w:cs="Calibri"/>
                <w:sz w:val="18"/>
                <w:szCs w:val="18"/>
                <w:lang w:val="en-US"/>
              </w:rPr>
              <w:t xml:space="preserve">%, while the STOXX Europe 50 </w:t>
            </w:r>
            <w:r w:rsidR="00741D60">
              <w:rPr>
                <w:rFonts w:ascii="Calibri" w:eastAsia="Times New Roman" w:hAnsi="Calibri" w:cs="Calibri"/>
                <w:sz w:val="18"/>
                <w:szCs w:val="18"/>
                <w:lang w:val="en-US"/>
              </w:rPr>
              <w:t>advanced +5.60</w:t>
            </w:r>
            <w:r w:rsidRPr="00F64526">
              <w:rPr>
                <w:rFonts w:ascii="Calibri" w:eastAsia="Times New Roman" w:hAnsi="Calibri" w:cs="Calibri"/>
                <w:sz w:val="18"/>
                <w:szCs w:val="18"/>
                <w:lang w:val="en-US"/>
              </w:rPr>
              <w:t xml:space="preserve">%. The Aspermont European Rotator Basket </w:t>
            </w:r>
            <w:r w:rsidR="00B124F1">
              <w:rPr>
                <w:rFonts w:ascii="Calibri" w:eastAsia="Times New Roman" w:hAnsi="Calibri" w:cs="Calibri"/>
                <w:sz w:val="18"/>
                <w:szCs w:val="18"/>
                <w:lang w:val="en-US"/>
              </w:rPr>
              <w:t xml:space="preserve">during </w:t>
            </w:r>
            <w:r w:rsidR="00741D60">
              <w:rPr>
                <w:rFonts w:ascii="Calibri" w:eastAsia="Times New Roman" w:hAnsi="Calibri" w:cs="Calibri"/>
                <w:sz w:val="18"/>
                <w:szCs w:val="18"/>
                <w:lang w:val="en-US"/>
              </w:rPr>
              <w:t>April outperformed the Stoxx 600 with a return of 5.06</w:t>
            </w:r>
            <w:r w:rsidRPr="00F64526">
              <w:rPr>
                <w:rFonts w:ascii="Calibri" w:eastAsia="Times New Roman" w:hAnsi="Calibri" w:cs="Calibri"/>
                <w:sz w:val="18"/>
                <w:szCs w:val="18"/>
                <w:lang w:val="en-US"/>
              </w:rPr>
              <w:t>%. At</w:t>
            </w:r>
            <w:r w:rsidR="00271153" w:rsidRPr="00F64526">
              <w:rPr>
                <w:rFonts w:ascii="Calibri" w:eastAsia="Times New Roman" w:hAnsi="Calibri" w:cs="Calibri"/>
                <w:sz w:val="18"/>
                <w:szCs w:val="18"/>
                <w:lang w:val="en-US"/>
              </w:rPr>
              <w:t xml:space="preserve"> </w:t>
            </w:r>
            <w:r w:rsidR="00C355AE" w:rsidRPr="00F64526">
              <w:rPr>
                <w:rFonts w:ascii="Calibri" w:eastAsia="Times New Roman" w:hAnsi="Calibri" w:cs="Calibri"/>
                <w:sz w:val="18"/>
                <w:szCs w:val="18"/>
                <w:lang w:val="en-US"/>
              </w:rPr>
              <w:t xml:space="preserve">the </w:t>
            </w:r>
            <w:r w:rsidR="00C355AE">
              <w:rPr>
                <w:rFonts w:ascii="Calibri" w:eastAsia="Times New Roman" w:hAnsi="Calibri" w:cs="Calibri"/>
                <w:sz w:val="18"/>
                <w:szCs w:val="18"/>
                <w:lang w:val="en-US"/>
              </w:rPr>
              <w:t>end</w:t>
            </w:r>
            <w:r w:rsidR="00271153" w:rsidRPr="00F64526">
              <w:rPr>
                <w:rFonts w:ascii="Calibri" w:eastAsia="Times New Roman" w:hAnsi="Calibri" w:cs="Calibri"/>
                <w:sz w:val="18"/>
                <w:szCs w:val="18"/>
                <w:lang w:val="en-US"/>
              </w:rPr>
              <w:t xml:space="preserve"> of the month</w:t>
            </w:r>
            <w:r w:rsidRPr="00F64526">
              <w:rPr>
                <w:rFonts w:ascii="Calibri" w:eastAsia="Times New Roman" w:hAnsi="Calibri" w:cs="Calibri"/>
                <w:sz w:val="18"/>
                <w:szCs w:val="18"/>
                <w:lang w:val="en-US"/>
              </w:rPr>
              <w:t>, the basket was invested across 1</w:t>
            </w:r>
            <w:r w:rsidR="00F12664">
              <w:rPr>
                <w:rFonts w:ascii="Calibri" w:eastAsia="Times New Roman" w:hAnsi="Calibri" w:cs="Calibri"/>
                <w:sz w:val="18"/>
                <w:szCs w:val="18"/>
                <w:lang w:val="en-US"/>
              </w:rPr>
              <w:t>9</w:t>
            </w:r>
            <w:r w:rsidRPr="00F64526">
              <w:rPr>
                <w:rFonts w:ascii="Calibri" w:eastAsia="Times New Roman" w:hAnsi="Calibri" w:cs="Calibri"/>
                <w:sz w:val="18"/>
                <w:szCs w:val="18"/>
                <w:lang w:val="en-US"/>
              </w:rPr>
              <w:t xml:space="preserve"> European sectors and </w:t>
            </w:r>
            <w:r w:rsidR="00271153" w:rsidRPr="00F64526">
              <w:rPr>
                <w:rFonts w:ascii="Calibri" w:eastAsia="Times New Roman" w:hAnsi="Calibri" w:cs="Calibri"/>
                <w:sz w:val="18"/>
                <w:szCs w:val="18"/>
                <w:lang w:val="en-US"/>
              </w:rPr>
              <w:t xml:space="preserve">zero </w:t>
            </w:r>
            <w:r w:rsidR="004143FB" w:rsidRPr="00F64526">
              <w:rPr>
                <w:rFonts w:ascii="Calibri" w:eastAsia="Times New Roman" w:hAnsi="Calibri" w:cs="Calibri"/>
                <w:sz w:val="18"/>
                <w:szCs w:val="18"/>
                <w:lang w:val="en-US"/>
              </w:rPr>
              <w:t>countr</w:t>
            </w:r>
            <w:r w:rsidR="00271153" w:rsidRPr="00F64526">
              <w:rPr>
                <w:rFonts w:ascii="Calibri" w:eastAsia="Times New Roman" w:hAnsi="Calibri" w:cs="Calibri"/>
                <w:sz w:val="18"/>
                <w:szCs w:val="18"/>
                <w:lang w:val="en-US"/>
              </w:rPr>
              <w:t>y</w:t>
            </w:r>
            <w:r w:rsidRPr="00F64526">
              <w:rPr>
                <w:rFonts w:ascii="Calibri" w:eastAsia="Times New Roman" w:hAnsi="Calibri" w:cs="Calibri"/>
                <w:sz w:val="18"/>
                <w:szCs w:val="18"/>
                <w:lang w:val="en-US"/>
              </w:rPr>
              <w:t xml:space="preserve"> </w:t>
            </w:r>
            <w:r w:rsidR="004A3C9B" w:rsidRPr="00F64526">
              <w:rPr>
                <w:rFonts w:ascii="Calibri" w:eastAsia="Times New Roman" w:hAnsi="Calibri" w:cs="Calibri"/>
                <w:sz w:val="18"/>
                <w:szCs w:val="18"/>
                <w:lang w:val="en-US"/>
              </w:rPr>
              <w:t>indices,</w:t>
            </w:r>
            <w:r w:rsidRPr="00F64526">
              <w:rPr>
                <w:rFonts w:ascii="Calibri" w:eastAsia="Times New Roman" w:hAnsi="Calibri" w:cs="Calibri"/>
                <w:sz w:val="18"/>
                <w:szCs w:val="18"/>
                <w:lang w:val="en-US"/>
              </w:rPr>
              <w:t xml:space="preserve"> holding a cash position of </w:t>
            </w:r>
            <w:r w:rsidR="00741D60">
              <w:rPr>
                <w:rFonts w:ascii="Calibri" w:eastAsia="Times New Roman" w:hAnsi="Calibri" w:cs="Calibri"/>
                <w:sz w:val="18"/>
                <w:szCs w:val="18"/>
                <w:lang w:val="en-US"/>
              </w:rPr>
              <w:t>3.87</w:t>
            </w:r>
            <w:r w:rsidRPr="00F64526">
              <w:rPr>
                <w:rFonts w:ascii="Calibri" w:eastAsia="Times New Roman" w:hAnsi="Calibri" w:cs="Calibri"/>
                <w:sz w:val="18"/>
                <w:szCs w:val="18"/>
                <w:lang w:val="en-US"/>
              </w:rPr>
              <w:t>%.</w:t>
            </w:r>
          </w:p>
          <w:p w14:paraId="6D2D8EB9" w14:textId="03A21819" w:rsidR="00A72C11" w:rsidRDefault="00650AC2" w:rsidP="002010F5">
            <w:pPr>
              <w:tabs>
                <w:tab w:val="left" w:pos="6073"/>
              </w:tabs>
              <w:spacing w:after="120"/>
              <w:ind w:left="293"/>
              <w:jc w:val="both"/>
              <w:rPr>
                <w:rFonts w:ascii="Calibri" w:eastAsia="Times New Roman" w:hAnsi="Calibri" w:cs="Calibri"/>
                <w:sz w:val="18"/>
                <w:szCs w:val="18"/>
                <w:lang w:val="en-US"/>
              </w:rPr>
            </w:pPr>
            <w:r>
              <w:rPr>
                <w:rFonts w:ascii="Calibri" w:eastAsia="Times New Roman" w:hAnsi="Calibri" w:cs="Calibri"/>
                <w:sz w:val="18"/>
                <w:szCs w:val="18"/>
                <w:lang w:val="en-US"/>
              </w:rPr>
              <w:t xml:space="preserve">In </w:t>
            </w:r>
            <w:r w:rsidR="00741D60">
              <w:rPr>
                <w:rFonts w:ascii="Calibri" w:eastAsia="Times New Roman" w:hAnsi="Calibri" w:cs="Calibri"/>
                <w:sz w:val="18"/>
                <w:szCs w:val="18"/>
                <w:lang w:val="en-US"/>
              </w:rPr>
              <w:t>April</w:t>
            </w:r>
            <w:r w:rsidR="00307464">
              <w:rPr>
                <w:rFonts w:ascii="Calibri" w:eastAsia="Times New Roman" w:hAnsi="Calibri" w:cs="Calibri"/>
                <w:sz w:val="18"/>
                <w:szCs w:val="18"/>
                <w:lang w:val="en-US"/>
              </w:rPr>
              <w:t>,</w:t>
            </w:r>
            <w:r w:rsidR="00741D60">
              <w:rPr>
                <w:rFonts w:ascii="Calibri" w:eastAsia="Times New Roman" w:hAnsi="Calibri" w:cs="Calibri"/>
                <w:sz w:val="18"/>
                <w:szCs w:val="18"/>
                <w:lang w:val="en-US"/>
              </w:rPr>
              <w:t xml:space="preserve"> the best performing sector was Technology (+11.9%)</w:t>
            </w:r>
            <w:r w:rsidR="00315358">
              <w:rPr>
                <w:rFonts w:ascii="Calibri" w:eastAsia="Times New Roman" w:hAnsi="Calibri" w:cs="Calibri"/>
                <w:sz w:val="18"/>
                <w:szCs w:val="18"/>
                <w:lang w:val="en-US"/>
              </w:rPr>
              <w:t>, a sector</w:t>
            </w:r>
            <w:r w:rsidR="00741D60">
              <w:rPr>
                <w:rFonts w:ascii="Calibri" w:eastAsia="Times New Roman" w:hAnsi="Calibri" w:cs="Calibri"/>
                <w:sz w:val="18"/>
                <w:szCs w:val="18"/>
                <w:lang w:val="en-US"/>
              </w:rPr>
              <w:t xml:space="preserve"> that we hold in a Neutral position. This sector was driven by investor optimism around AI that had a positive effect on semiconductor demand that was seen in the strong performance of ASML (+9.2%) and especially Infineon Technologies (+50</w:t>
            </w:r>
            <w:r w:rsidR="00A72C11">
              <w:rPr>
                <w:rFonts w:ascii="Calibri" w:eastAsia="Times New Roman" w:hAnsi="Calibri" w:cs="Calibri"/>
                <w:sz w:val="18"/>
                <w:szCs w:val="18"/>
                <w:lang w:val="en-US"/>
              </w:rPr>
              <w:t>.3</w:t>
            </w:r>
            <w:r w:rsidR="00741D60">
              <w:rPr>
                <w:rFonts w:ascii="Calibri" w:eastAsia="Times New Roman" w:hAnsi="Calibri" w:cs="Calibri"/>
                <w:sz w:val="18"/>
                <w:szCs w:val="18"/>
                <w:lang w:val="en-US"/>
              </w:rPr>
              <w:t>%</w:t>
            </w:r>
            <w:r w:rsidR="00A72C11">
              <w:rPr>
                <w:rFonts w:ascii="Calibri" w:eastAsia="Times New Roman" w:hAnsi="Calibri" w:cs="Calibri"/>
                <w:sz w:val="18"/>
                <w:szCs w:val="18"/>
                <w:lang w:val="en-US"/>
              </w:rPr>
              <w:t xml:space="preserve">) with their power chips used in data centers. The </w:t>
            </w:r>
            <w:r w:rsidR="00315358">
              <w:rPr>
                <w:rFonts w:ascii="Calibri" w:eastAsia="Times New Roman" w:hAnsi="Calibri" w:cs="Calibri"/>
                <w:sz w:val="18"/>
                <w:szCs w:val="18"/>
                <w:lang w:val="en-US"/>
              </w:rPr>
              <w:t>second-best</w:t>
            </w:r>
            <w:r w:rsidR="00A72C11">
              <w:rPr>
                <w:rFonts w:ascii="Calibri" w:eastAsia="Times New Roman" w:hAnsi="Calibri" w:cs="Calibri"/>
                <w:sz w:val="18"/>
                <w:szCs w:val="18"/>
                <w:lang w:val="en-US"/>
              </w:rPr>
              <w:t xml:space="preserve"> performing </w:t>
            </w:r>
            <w:proofErr w:type="gramStart"/>
            <w:r w:rsidR="00A72C11">
              <w:rPr>
                <w:rFonts w:ascii="Calibri" w:eastAsia="Times New Roman" w:hAnsi="Calibri" w:cs="Calibri"/>
                <w:sz w:val="18"/>
                <w:szCs w:val="18"/>
                <w:lang w:val="en-US"/>
              </w:rPr>
              <w:t>sector</w:t>
            </w:r>
            <w:proofErr w:type="gramEnd"/>
            <w:r w:rsidR="00A72C11">
              <w:rPr>
                <w:rFonts w:ascii="Calibri" w:eastAsia="Times New Roman" w:hAnsi="Calibri" w:cs="Calibri"/>
                <w:sz w:val="18"/>
                <w:szCs w:val="18"/>
                <w:lang w:val="en-US"/>
              </w:rPr>
              <w:t xml:space="preserve"> as Banks (+9.8%)</w:t>
            </w:r>
            <w:proofErr w:type="gramStart"/>
            <w:r w:rsidR="00A72C11">
              <w:rPr>
                <w:rFonts w:ascii="Calibri" w:eastAsia="Times New Roman" w:hAnsi="Calibri" w:cs="Calibri"/>
                <w:sz w:val="18"/>
                <w:szCs w:val="18"/>
                <w:lang w:val="en-US"/>
              </w:rPr>
              <w:t xml:space="preserve"> a position</w:t>
            </w:r>
            <w:proofErr w:type="gramEnd"/>
            <w:r w:rsidR="00A72C11">
              <w:rPr>
                <w:rFonts w:ascii="Calibri" w:eastAsia="Times New Roman" w:hAnsi="Calibri" w:cs="Calibri"/>
                <w:sz w:val="18"/>
                <w:szCs w:val="18"/>
                <w:lang w:val="en-US"/>
              </w:rPr>
              <w:t xml:space="preserve"> we hold 2.5% OW, outperformed the general market. Banks reported resilient earnings especially noticeable in increased investment banking and trading activity that supported larger banks. Industrial goods &amp; services also outperformed the general market (+8.58%) and </w:t>
            </w:r>
            <w:proofErr w:type="gramStart"/>
            <w:r w:rsidR="00A72C11">
              <w:rPr>
                <w:rFonts w:ascii="Calibri" w:eastAsia="Times New Roman" w:hAnsi="Calibri" w:cs="Calibri"/>
                <w:sz w:val="18"/>
                <w:szCs w:val="18"/>
                <w:lang w:val="en-US"/>
              </w:rPr>
              <w:t>was</w:t>
            </w:r>
            <w:proofErr w:type="gramEnd"/>
            <w:r w:rsidR="00A72C11">
              <w:rPr>
                <w:rFonts w:ascii="Calibri" w:eastAsia="Times New Roman" w:hAnsi="Calibri" w:cs="Calibri"/>
                <w:sz w:val="18"/>
                <w:szCs w:val="18"/>
                <w:lang w:val="en-US"/>
              </w:rPr>
              <w:t xml:space="preserve"> a position we held at +2.5% OW until the very end of the month. In April this sector performed well due to rising demand for automation, electrification and infrastructure investments where companies such as Siemens and Schneider profited. On the other </w:t>
            </w:r>
            <w:proofErr w:type="gramStart"/>
            <w:r w:rsidR="00A72C11">
              <w:rPr>
                <w:rFonts w:ascii="Calibri" w:eastAsia="Times New Roman" w:hAnsi="Calibri" w:cs="Calibri"/>
                <w:sz w:val="18"/>
                <w:szCs w:val="18"/>
                <w:lang w:val="en-US"/>
              </w:rPr>
              <w:t>hand</w:t>
            </w:r>
            <w:proofErr w:type="gramEnd"/>
            <w:r w:rsidR="00A72C11">
              <w:rPr>
                <w:rFonts w:ascii="Calibri" w:eastAsia="Times New Roman" w:hAnsi="Calibri" w:cs="Calibri"/>
                <w:sz w:val="18"/>
                <w:szCs w:val="18"/>
                <w:lang w:val="en-US"/>
              </w:rPr>
              <w:t xml:space="preserve"> Airbus and Safran, although demand for the next generation of Airplanes is high, we were concerned with the ongoing supply chain difficulties with engines and with the continued conflict in the Middle East and the high oil price might lead Airlines to start cancelling contracts due to financial worries. </w:t>
            </w:r>
          </w:p>
          <w:p w14:paraId="02B15C9B" w14:textId="45892727" w:rsidR="00E446BD" w:rsidRPr="001015FD" w:rsidRDefault="00315358" w:rsidP="00315358">
            <w:pPr>
              <w:tabs>
                <w:tab w:val="left" w:pos="6073"/>
              </w:tabs>
              <w:spacing w:after="120"/>
              <w:ind w:left="293"/>
              <w:jc w:val="both"/>
              <w:rPr>
                <w:rFonts w:ascii="Calibri" w:eastAsia="Times New Roman" w:hAnsi="Calibri" w:cs="Calibri"/>
                <w:sz w:val="18"/>
                <w:szCs w:val="18"/>
                <w:lang w:val="en-US"/>
              </w:rPr>
            </w:pPr>
            <w:r>
              <w:rPr>
                <w:rFonts w:ascii="Calibri" w:eastAsia="Times New Roman" w:hAnsi="Calibri" w:cs="Calibri"/>
                <w:sz w:val="18"/>
                <w:szCs w:val="18"/>
                <w:lang w:val="en-US"/>
              </w:rPr>
              <w:t>Two sectors were particularly weak in April. Health Care (-3.87%) that we have as a Neutral position was under pressure with Essilor Luxottica dropping -8.6% in April after releasing solid earnings, but investors worry on slowing smart glasses growth after a record 2025. Further, companies such as Sanofi and Bayer face future revenue loss with expiring patent, a pattern seen throughout pharmaceutical companies. Travel and Leisure (-2.4%) also underperformed as the conflict in the Middle East has led to high fuel costs for airlines and airlines having to cancel routes.</w:t>
            </w:r>
          </w:p>
        </w:tc>
        <w:tc>
          <w:tcPr>
            <w:tcW w:w="165" w:type="dxa"/>
            <w:tcBorders>
              <w:right w:val="single" w:sz="4" w:space="0" w:color="C00000"/>
            </w:tcBorders>
          </w:tcPr>
          <w:p w14:paraId="693A6A31" w14:textId="77777777" w:rsidR="000D26E3" w:rsidRPr="00835938" w:rsidRDefault="000D26E3" w:rsidP="00A90198">
            <w:pPr>
              <w:jc w:val="center"/>
              <w:rPr>
                <w:b/>
                <w:sz w:val="18"/>
                <w:lang w:val="en-US"/>
              </w:rPr>
            </w:pPr>
          </w:p>
        </w:tc>
        <w:tc>
          <w:tcPr>
            <w:tcW w:w="4371" w:type="dxa"/>
            <w:tcBorders>
              <w:top w:val="single" w:sz="4" w:space="0" w:color="C00000"/>
              <w:bottom w:val="single" w:sz="4" w:space="0" w:color="C00000"/>
              <w:right w:val="single" w:sz="4" w:space="0" w:color="C00000"/>
            </w:tcBorders>
          </w:tcPr>
          <w:p w14:paraId="7320202C" w14:textId="77777777" w:rsidR="009947B7" w:rsidRDefault="009947B7" w:rsidP="00673744">
            <w:pPr>
              <w:ind w:right="3050"/>
              <w:rPr>
                <w:sz w:val="16"/>
                <w:szCs w:val="16"/>
                <w:lang w:val="en-US"/>
              </w:rPr>
            </w:pPr>
          </w:p>
          <w:p w14:paraId="627C6369" w14:textId="2AFB6118" w:rsidR="009947B7" w:rsidRDefault="006F73B5" w:rsidP="00673744">
            <w:pPr>
              <w:ind w:right="3050"/>
              <w:rPr>
                <w:sz w:val="16"/>
                <w:szCs w:val="16"/>
                <w:lang w:val="en-US"/>
              </w:rPr>
            </w:pPr>
            <w:r w:rsidRPr="006F73B5">
              <w:rPr>
                <w:noProof/>
              </w:rPr>
              <w:drawing>
                <wp:inline distT="0" distB="0" distL="0" distR="0" wp14:anchorId="44EE1061" wp14:editId="7607F97F">
                  <wp:extent cx="2683510" cy="1472565"/>
                  <wp:effectExtent l="0" t="0" r="2540" b="0"/>
                  <wp:docPr id="1642399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3510" cy="1472565"/>
                          </a:xfrm>
                          <a:prstGeom prst="rect">
                            <a:avLst/>
                          </a:prstGeom>
                          <a:noFill/>
                          <a:ln>
                            <a:noFill/>
                          </a:ln>
                        </pic:spPr>
                      </pic:pic>
                    </a:graphicData>
                  </a:graphic>
                </wp:inline>
              </w:drawing>
            </w:r>
          </w:p>
          <w:p w14:paraId="3CDC193B" w14:textId="0B0D73E7" w:rsidR="00E02585" w:rsidRPr="00E30931" w:rsidRDefault="00E02585" w:rsidP="00673744">
            <w:pPr>
              <w:ind w:right="3050"/>
              <w:rPr>
                <w:sz w:val="16"/>
                <w:szCs w:val="16"/>
                <w:lang w:val="en-US"/>
              </w:rPr>
            </w:pPr>
          </w:p>
          <w:p w14:paraId="779D695D" w14:textId="3B0F2073" w:rsidR="004668DC" w:rsidRDefault="000D26E3" w:rsidP="004668DC">
            <w:pPr>
              <w:ind w:left="101" w:right="67"/>
              <w:rPr>
                <w:i/>
                <w:sz w:val="14"/>
                <w:szCs w:val="14"/>
                <w:lang w:val="en-US"/>
              </w:rPr>
            </w:pPr>
            <w:r w:rsidRPr="00835938">
              <w:rPr>
                <w:i/>
                <w:sz w:val="14"/>
                <w:szCs w:val="14"/>
                <w:lang w:val="en-US"/>
              </w:rPr>
              <w:t>Performance since launch vs. STOXX Europe 600 (rebased</w:t>
            </w:r>
            <w:r w:rsidR="004668DC">
              <w:rPr>
                <w:i/>
                <w:sz w:val="14"/>
                <w:szCs w:val="14"/>
                <w:lang w:val="en-US"/>
              </w:rPr>
              <w:t>)</w:t>
            </w:r>
          </w:p>
          <w:p w14:paraId="5D4C3581" w14:textId="4E5CBCA9" w:rsidR="00CB3495" w:rsidRPr="00835938" w:rsidRDefault="004668DC" w:rsidP="004668DC">
            <w:pPr>
              <w:ind w:right="67"/>
              <w:rPr>
                <w:i/>
                <w:sz w:val="14"/>
                <w:szCs w:val="14"/>
                <w:lang w:val="en-US"/>
              </w:rPr>
            </w:pPr>
            <w:r>
              <w:rPr>
                <w:i/>
                <w:sz w:val="14"/>
                <w:szCs w:val="14"/>
                <w:lang w:val="en-US"/>
              </w:rPr>
              <w:t xml:space="preserve">   </w:t>
            </w:r>
            <w:r w:rsidR="000D26E3" w:rsidRPr="00835938">
              <w:rPr>
                <w:i/>
                <w:sz w:val="14"/>
                <w:szCs w:val="14"/>
                <w:lang w:val="en-US"/>
              </w:rPr>
              <w:t>Source</w:t>
            </w:r>
            <w:r w:rsidR="00AA14A0" w:rsidRPr="00835938">
              <w:rPr>
                <w:i/>
                <w:sz w:val="14"/>
                <w:szCs w:val="14"/>
                <w:lang w:val="en-US"/>
              </w:rPr>
              <w:t>:</w:t>
            </w:r>
            <w:r w:rsidR="000D26E3" w:rsidRPr="00835938">
              <w:rPr>
                <w:i/>
                <w:sz w:val="14"/>
                <w:szCs w:val="14"/>
                <w:lang w:val="en-US"/>
              </w:rPr>
              <w:t xml:space="preserve"> Bloomberg</w:t>
            </w:r>
          </w:p>
          <w:p w14:paraId="17A5E710" w14:textId="77777777" w:rsidR="00925A45" w:rsidRDefault="00925A45" w:rsidP="00673744">
            <w:pPr>
              <w:ind w:right="3050"/>
              <w:rPr>
                <w:sz w:val="16"/>
                <w:szCs w:val="16"/>
                <w:lang w:val="en-US"/>
              </w:rPr>
            </w:pPr>
          </w:p>
          <w:p w14:paraId="0D4F4E6C" w14:textId="77777777" w:rsidR="00253EE2" w:rsidRDefault="00253EE2" w:rsidP="00673744">
            <w:pPr>
              <w:ind w:right="3050"/>
              <w:rPr>
                <w:sz w:val="16"/>
                <w:szCs w:val="16"/>
                <w:lang w:val="en-US"/>
              </w:rPr>
            </w:pPr>
          </w:p>
          <w:p w14:paraId="5ACDAD90" w14:textId="77777777" w:rsidR="00253EE2" w:rsidRDefault="00253EE2" w:rsidP="00673744">
            <w:pPr>
              <w:ind w:right="3050"/>
              <w:rPr>
                <w:sz w:val="16"/>
                <w:szCs w:val="16"/>
                <w:lang w:val="en-US"/>
              </w:rPr>
            </w:pPr>
          </w:p>
          <w:p w14:paraId="3661505E" w14:textId="77777777" w:rsidR="00E26914" w:rsidRPr="00835938" w:rsidRDefault="00E26914" w:rsidP="00673744">
            <w:pPr>
              <w:ind w:right="3050"/>
              <w:rPr>
                <w:sz w:val="16"/>
                <w:szCs w:val="16"/>
                <w:lang w:val="en-US"/>
              </w:rPr>
            </w:pPr>
          </w:p>
          <w:p w14:paraId="529E0E41" w14:textId="4CB5C139" w:rsidR="00C26C53" w:rsidRPr="00555AD4" w:rsidRDefault="006F73B5" w:rsidP="00673744">
            <w:pPr>
              <w:ind w:right="3050"/>
              <w:rPr>
                <w:sz w:val="16"/>
                <w:szCs w:val="16"/>
                <w:lang w:val="en-US"/>
              </w:rPr>
            </w:pPr>
            <w:r w:rsidRPr="006F73B5">
              <w:rPr>
                <w:noProof/>
              </w:rPr>
              <w:drawing>
                <wp:inline distT="0" distB="0" distL="0" distR="0" wp14:anchorId="4D688AFD" wp14:editId="521D64ED">
                  <wp:extent cx="2683510" cy="1484630"/>
                  <wp:effectExtent l="0" t="0" r="2540" b="1270"/>
                  <wp:docPr id="1412598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3510" cy="1484630"/>
                          </a:xfrm>
                          <a:prstGeom prst="rect">
                            <a:avLst/>
                          </a:prstGeom>
                          <a:noFill/>
                          <a:ln>
                            <a:noFill/>
                          </a:ln>
                        </pic:spPr>
                      </pic:pic>
                    </a:graphicData>
                  </a:graphic>
                </wp:inline>
              </w:drawing>
            </w:r>
          </w:p>
          <w:p w14:paraId="1495AB5B" w14:textId="77777777" w:rsidR="00E02585" w:rsidRPr="00E02585" w:rsidRDefault="00E02585" w:rsidP="00673744">
            <w:pPr>
              <w:ind w:left="101" w:right="3050"/>
              <w:rPr>
                <w:i/>
                <w:sz w:val="12"/>
                <w:szCs w:val="12"/>
                <w:lang w:val="en-US"/>
              </w:rPr>
            </w:pPr>
          </w:p>
          <w:p w14:paraId="4CDB906F" w14:textId="4E288510" w:rsidR="000D26E3" w:rsidRPr="00835938" w:rsidRDefault="00C47704" w:rsidP="004668DC">
            <w:pPr>
              <w:ind w:left="101" w:right="208"/>
              <w:rPr>
                <w:i/>
                <w:sz w:val="14"/>
                <w:szCs w:val="14"/>
                <w:lang w:val="en-US"/>
              </w:rPr>
            </w:pPr>
            <w:r w:rsidRPr="00835938">
              <w:rPr>
                <w:i/>
                <w:sz w:val="14"/>
                <w:szCs w:val="14"/>
                <w:lang w:val="en-US"/>
              </w:rPr>
              <w:t xml:space="preserve">AMC </w:t>
            </w:r>
            <w:r w:rsidR="00EB2D23">
              <w:rPr>
                <w:i/>
                <w:sz w:val="14"/>
                <w:szCs w:val="14"/>
                <w:lang w:val="en-US"/>
              </w:rPr>
              <w:t>12m</w:t>
            </w:r>
            <w:r w:rsidRPr="00835938">
              <w:rPr>
                <w:i/>
                <w:sz w:val="14"/>
                <w:szCs w:val="14"/>
                <w:lang w:val="en-US"/>
              </w:rPr>
              <w:t xml:space="preserve"> p</w:t>
            </w:r>
            <w:r w:rsidR="000D26E3" w:rsidRPr="00835938">
              <w:rPr>
                <w:i/>
                <w:sz w:val="14"/>
                <w:szCs w:val="14"/>
                <w:lang w:val="en-US"/>
              </w:rPr>
              <w:t>erformance vs. STOXX Europe 600 (rebased)</w:t>
            </w:r>
          </w:p>
          <w:p w14:paraId="36DF7930" w14:textId="0747A478" w:rsidR="00F12847" w:rsidRPr="00CB3495" w:rsidRDefault="000D26E3" w:rsidP="004668DC">
            <w:pPr>
              <w:ind w:left="101" w:right="2485"/>
              <w:rPr>
                <w:i/>
                <w:sz w:val="14"/>
                <w:szCs w:val="14"/>
                <w:lang w:val="en-US"/>
              </w:rPr>
            </w:pPr>
            <w:r w:rsidRPr="00835938">
              <w:rPr>
                <w:i/>
                <w:sz w:val="14"/>
                <w:szCs w:val="14"/>
                <w:lang w:val="en-US"/>
              </w:rPr>
              <w:t>Source</w:t>
            </w:r>
            <w:r w:rsidR="00AA14A0" w:rsidRPr="00835938">
              <w:rPr>
                <w:i/>
                <w:sz w:val="14"/>
                <w:szCs w:val="14"/>
                <w:lang w:val="en-US"/>
              </w:rPr>
              <w:t>:</w:t>
            </w:r>
            <w:r w:rsidRPr="00835938">
              <w:rPr>
                <w:i/>
                <w:sz w:val="14"/>
                <w:szCs w:val="14"/>
                <w:lang w:val="en-US"/>
              </w:rPr>
              <w:t xml:space="preserve"> Bloomberg</w:t>
            </w:r>
          </w:p>
        </w:tc>
      </w:tr>
    </w:tbl>
    <w:p w14:paraId="625E343F" w14:textId="2EB1A63A" w:rsidR="00A90198" w:rsidRDefault="0078187E" w:rsidP="00DF6246">
      <w:pPr>
        <w:pStyle w:val="Heading1"/>
        <w:spacing w:before="240" w:after="120" w:line="240" w:lineRule="auto"/>
        <w:rPr>
          <w:rFonts w:asciiTheme="minorHAnsi" w:hAnsiTheme="minorHAnsi"/>
          <w:color w:val="C00000"/>
          <w:sz w:val="24"/>
          <w:lang w:val="en-US"/>
        </w:rPr>
      </w:pPr>
      <w:r w:rsidRPr="00E1240A">
        <w:rPr>
          <w:rFonts w:asciiTheme="minorHAnsi" w:hAnsiTheme="minorHAnsi"/>
          <w:color w:val="C00000"/>
          <w:sz w:val="24"/>
          <w:lang w:val="en-US"/>
        </w:rPr>
        <w:lastRenderedPageBreak/>
        <w:t>Returns</w:t>
      </w:r>
    </w:p>
    <w:tbl>
      <w:tblPr>
        <w:tblStyle w:val="TableGrid"/>
        <w:tblW w:w="0" w:type="auto"/>
        <w:tblLook w:val="04A0" w:firstRow="1" w:lastRow="0" w:firstColumn="1" w:lastColumn="0" w:noHBand="0" w:noVBand="1"/>
      </w:tblPr>
      <w:tblGrid>
        <w:gridCol w:w="646"/>
        <w:gridCol w:w="646"/>
        <w:gridCol w:w="647"/>
        <w:gridCol w:w="647"/>
        <w:gridCol w:w="647"/>
        <w:gridCol w:w="647"/>
        <w:gridCol w:w="647"/>
        <w:gridCol w:w="647"/>
        <w:gridCol w:w="647"/>
        <w:gridCol w:w="647"/>
        <w:gridCol w:w="648"/>
        <w:gridCol w:w="648"/>
        <w:gridCol w:w="648"/>
        <w:gridCol w:w="648"/>
      </w:tblGrid>
      <w:tr w:rsidR="00644D02" w14:paraId="6B010812" w14:textId="77777777" w:rsidTr="00644D02">
        <w:tc>
          <w:tcPr>
            <w:tcW w:w="647" w:type="dxa"/>
            <w:shd w:val="clear" w:color="auto" w:fill="D9D9D9" w:themeFill="background1" w:themeFillShade="D9"/>
            <w:vAlign w:val="center"/>
          </w:tcPr>
          <w:p w14:paraId="05E3CBFB" w14:textId="77777777" w:rsidR="00644D02" w:rsidRDefault="00644D02" w:rsidP="00644D02">
            <w:pPr>
              <w:rPr>
                <w:lang w:val="en-US"/>
              </w:rPr>
            </w:pPr>
          </w:p>
        </w:tc>
        <w:tc>
          <w:tcPr>
            <w:tcW w:w="647" w:type="dxa"/>
            <w:shd w:val="clear" w:color="auto" w:fill="D9D9D9" w:themeFill="background1" w:themeFillShade="D9"/>
            <w:vAlign w:val="center"/>
          </w:tcPr>
          <w:p w14:paraId="0F151C53" w14:textId="136CF76A" w:rsidR="00644D02" w:rsidRDefault="00644D02" w:rsidP="00644D02">
            <w:pPr>
              <w:rPr>
                <w:lang w:val="en-US"/>
              </w:rPr>
            </w:pPr>
            <w:r w:rsidRPr="001B1F78">
              <w:rPr>
                <w:sz w:val="15"/>
                <w:szCs w:val="15"/>
                <w:lang w:val="en-US"/>
              </w:rPr>
              <w:t>Jan</w:t>
            </w:r>
          </w:p>
        </w:tc>
        <w:tc>
          <w:tcPr>
            <w:tcW w:w="647" w:type="dxa"/>
            <w:shd w:val="clear" w:color="auto" w:fill="D9D9D9" w:themeFill="background1" w:themeFillShade="D9"/>
            <w:vAlign w:val="center"/>
          </w:tcPr>
          <w:p w14:paraId="37EC6236" w14:textId="565C6583" w:rsidR="00644D02" w:rsidRDefault="00644D02" w:rsidP="00644D02">
            <w:pPr>
              <w:rPr>
                <w:lang w:val="en-US"/>
              </w:rPr>
            </w:pPr>
            <w:r w:rsidRPr="001B1F78">
              <w:rPr>
                <w:sz w:val="15"/>
                <w:szCs w:val="15"/>
                <w:lang w:val="en-US"/>
              </w:rPr>
              <w:t>Feb</w:t>
            </w:r>
          </w:p>
        </w:tc>
        <w:tc>
          <w:tcPr>
            <w:tcW w:w="647" w:type="dxa"/>
            <w:shd w:val="clear" w:color="auto" w:fill="D9D9D9" w:themeFill="background1" w:themeFillShade="D9"/>
            <w:vAlign w:val="center"/>
          </w:tcPr>
          <w:p w14:paraId="02808517" w14:textId="31AF41C9" w:rsidR="00644D02" w:rsidRDefault="00644D02" w:rsidP="00644D02">
            <w:pPr>
              <w:rPr>
                <w:lang w:val="en-US"/>
              </w:rPr>
            </w:pPr>
            <w:r w:rsidRPr="001B1F78">
              <w:rPr>
                <w:sz w:val="15"/>
                <w:szCs w:val="15"/>
                <w:lang w:val="en-US"/>
              </w:rPr>
              <w:t>Mar</w:t>
            </w:r>
          </w:p>
        </w:tc>
        <w:tc>
          <w:tcPr>
            <w:tcW w:w="647" w:type="dxa"/>
            <w:shd w:val="clear" w:color="auto" w:fill="D9D9D9" w:themeFill="background1" w:themeFillShade="D9"/>
            <w:vAlign w:val="center"/>
          </w:tcPr>
          <w:p w14:paraId="177E842C" w14:textId="2B7B84C7" w:rsidR="00644D02" w:rsidRDefault="00644D02" w:rsidP="00644D02">
            <w:pPr>
              <w:rPr>
                <w:lang w:val="en-US"/>
              </w:rPr>
            </w:pPr>
            <w:r w:rsidRPr="001B1F78">
              <w:rPr>
                <w:sz w:val="15"/>
                <w:szCs w:val="15"/>
                <w:lang w:val="en-US"/>
              </w:rPr>
              <w:t>Apr</w:t>
            </w:r>
          </w:p>
        </w:tc>
        <w:tc>
          <w:tcPr>
            <w:tcW w:w="647" w:type="dxa"/>
            <w:shd w:val="clear" w:color="auto" w:fill="D9D9D9" w:themeFill="background1" w:themeFillShade="D9"/>
            <w:vAlign w:val="center"/>
          </w:tcPr>
          <w:p w14:paraId="6BA14408" w14:textId="3CA18815" w:rsidR="00644D02" w:rsidRDefault="00644D02" w:rsidP="00644D02">
            <w:pPr>
              <w:rPr>
                <w:lang w:val="en-US"/>
              </w:rPr>
            </w:pPr>
            <w:r w:rsidRPr="001B1F78">
              <w:rPr>
                <w:sz w:val="15"/>
                <w:szCs w:val="15"/>
                <w:lang w:val="en-US"/>
              </w:rPr>
              <w:t>May</w:t>
            </w:r>
          </w:p>
        </w:tc>
        <w:tc>
          <w:tcPr>
            <w:tcW w:w="647" w:type="dxa"/>
            <w:shd w:val="clear" w:color="auto" w:fill="D9D9D9" w:themeFill="background1" w:themeFillShade="D9"/>
            <w:vAlign w:val="center"/>
          </w:tcPr>
          <w:p w14:paraId="24BBD2A8" w14:textId="1BEE538A" w:rsidR="00644D02" w:rsidRDefault="00644D02" w:rsidP="00644D02">
            <w:pPr>
              <w:rPr>
                <w:lang w:val="en-US"/>
              </w:rPr>
            </w:pPr>
            <w:r w:rsidRPr="001B1F78">
              <w:rPr>
                <w:sz w:val="15"/>
                <w:szCs w:val="15"/>
                <w:lang w:val="en-US"/>
              </w:rPr>
              <w:t>Jun</w:t>
            </w:r>
          </w:p>
        </w:tc>
        <w:tc>
          <w:tcPr>
            <w:tcW w:w="647" w:type="dxa"/>
            <w:shd w:val="clear" w:color="auto" w:fill="D9D9D9" w:themeFill="background1" w:themeFillShade="D9"/>
            <w:vAlign w:val="center"/>
          </w:tcPr>
          <w:p w14:paraId="548D324C" w14:textId="21079AAB" w:rsidR="00644D02" w:rsidRDefault="00644D02" w:rsidP="00644D02">
            <w:pPr>
              <w:rPr>
                <w:lang w:val="en-US"/>
              </w:rPr>
            </w:pPr>
            <w:r w:rsidRPr="001B1F78">
              <w:rPr>
                <w:sz w:val="15"/>
                <w:szCs w:val="15"/>
                <w:lang w:val="en-US"/>
              </w:rPr>
              <w:t>Jul</w:t>
            </w:r>
          </w:p>
        </w:tc>
        <w:tc>
          <w:tcPr>
            <w:tcW w:w="647" w:type="dxa"/>
            <w:shd w:val="clear" w:color="auto" w:fill="D9D9D9" w:themeFill="background1" w:themeFillShade="D9"/>
            <w:vAlign w:val="center"/>
          </w:tcPr>
          <w:p w14:paraId="47CF8173" w14:textId="3BC55B2D" w:rsidR="00644D02" w:rsidRDefault="00644D02" w:rsidP="00644D02">
            <w:pPr>
              <w:rPr>
                <w:lang w:val="en-US"/>
              </w:rPr>
            </w:pPr>
            <w:r w:rsidRPr="001B1F78">
              <w:rPr>
                <w:sz w:val="15"/>
                <w:szCs w:val="15"/>
                <w:lang w:val="en-US"/>
              </w:rPr>
              <w:t>Aug</w:t>
            </w:r>
          </w:p>
        </w:tc>
        <w:tc>
          <w:tcPr>
            <w:tcW w:w="647" w:type="dxa"/>
            <w:shd w:val="clear" w:color="auto" w:fill="D9D9D9" w:themeFill="background1" w:themeFillShade="D9"/>
            <w:vAlign w:val="center"/>
          </w:tcPr>
          <w:p w14:paraId="7EA5EB92" w14:textId="1D47AB03" w:rsidR="00644D02" w:rsidRDefault="00644D02" w:rsidP="00644D02">
            <w:pPr>
              <w:rPr>
                <w:lang w:val="en-US"/>
              </w:rPr>
            </w:pPr>
            <w:r w:rsidRPr="001B1F78">
              <w:rPr>
                <w:sz w:val="15"/>
                <w:szCs w:val="15"/>
                <w:lang w:val="en-US"/>
              </w:rPr>
              <w:t>Sep</w:t>
            </w:r>
          </w:p>
        </w:tc>
        <w:tc>
          <w:tcPr>
            <w:tcW w:w="648" w:type="dxa"/>
            <w:shd w:val="clear" w:color="auto" w:fill="D9D9D9" w:themeFill="background1" w:themeFillShade="D9"/>
            <w:vAlign w:val="center"/>
          </w:tcPr>
          <w:p w14:paraId="3E4B353A" w14:textId="61784783" w:rsidR="00644D02" w:rsidRDefault="00644D02" w:rsidP="00644D02">
            <w:pPr>
              <w:rPr>
                <w:lang w:val="en-US"/>
              </w:rPr>
            </w:pPr>
            <w:r w:rsidRPr="001B1F78">
              <w:rPr>
                <w:sz w:val="15"/>
                <w:szCs w:val="15"/>
                <w:lang w:val="en-US"/>
              </w:rPr>
              <w:t>Oct</w:t>
            </w:r>
          </w:p>
        </w:tc>
        <w:tc>
          <w:tcPr>
            <w:tcW w:w="648" w:type="dxa"/>
            <w:shd w:val="clear" w:color="auto" w:fill="D9D9D9" w:themeFill="background1" w:themeFillShade="D9"/>
            <w:vAlign w:val="center"/>
          </w:tcPr>
          <w:p w14:paraId="6645CF34" w14:textId="5E5C59FC" w:rsidR="00644D02" w:rsidRDefault="00644D02" w:rsidP="00644D02">
            <w:pPr>
              <w:rPr>
                <w:lang w:val="en-US"/>
              </w:rPr>
            </w:pPr>
            <w:r w:rsidRPr="001B1F78">
              <w:rPr>
                <w:sz w:val="15"/>
                <w:szCs w:val="15"/>
                <w:lang w:val="en-US"/>
              </w:rPr>
              <w:t>Nov</w:t>
            </w:r>
          </w:p>
        </w:tc>
        <w:tc>
          <w:tcPr>
            <w:tcW w:w="648" w:type="dxa"/>
            <w:shd w:val="clear" w:color="auto" w:fill="D9D9D9" w:themeFill="background1" w:themeFillShade="D9"/>
            <w:vAlign w:val="center"/>
          </w:tcPr>
          <w:p w14:paraId="1F2AF5A1" w14:textId="17F4F9E2" w:rsidR="00644D02" w:rsidRDefault="00644D02" w:rsidP="00644D02">
            <w:pPr>
              <w:rPr>
                <w:lang w:val="en-US"/>
              </w:rPr>
            </w:pPr>
            <w:r w:rsidRPr="001B1F78">
              <w:rPr>
                <w:sz w:val="15"/>
                <w:szCs w:val="15"/>
                <w:lang w:val="en-US"/>
              </w:rPr>
              <w:t>Dec</w:t>
            </w:r>
          </w:p>
        </w:tc>
        <w:tc>
          <w:tcPr>
            <w:tcW w:w="648" w:type="dxa"/>
            <w:shd w:val="clear" w:color="auto" w:fill="D9D9D9" w:themeFill="background1" w:themeFillShade="D9"/>
            <w:vAlign w:val="center"/>
          </w:tcPr>
          <w:p w14:paraId="4E1DDF01" w14:textId="2C2304B5" w:rsidR="00644D02" w:rsidRDefault="00644D02" w:rsidP="00644D02">
            <w:pPr>
              <w:rPr>
                <w:lang w:val="en-US"/>
              </w:rPr>
            </w:pPr>
            <w:r w:rsidRPr="001B1F78">
              <w:rPr>
                <w:sz w:val="15"/>
                <w:szCs w:val="15"/>
                <w:lang w:val="en-US"/>
              </w:rPr>
              <w:t>YTD</w:t>
            </w:r>
          </w:p>
        </w:tc>
      </w:tr>
      <w:tr w:rsidR="00644D02" w14:paraId="1E337801" w14:textId="77777777" w:rsidTr="00644D02">
        <w:tc>
          <w:tcPr>
            <w:tcW w:w="647" w:type="dxa"/>
            <w:shd w:val="clear" w:color="auto" w:fill="D9D9D9" w:themeFill="background1" w:themeFillShade="D9"/>
            <w:vAlign w:val="center"/>
          </w:tcPr>
          <w:p w14:paraId="219F8B29" w14:textId="00AC281D" w:rsidR="00644D02" w:rsidRPr="00644D02" w:rsidRDefault="00644D02" w:rsidP="00644D02">
            <w:pPr>
              <w:rPr>
                <w:sz w:val="13"/>
                <w:szCs w:val="13"/>
                <w:lang w:val="en-US"/>
              </w:rPr>
            </w:pPr>
            <w:r w:rsidRPr="00644D02">
              <w:rPr>
                <w:sz w:val="13"/>
                <w:szCs w:val="13"/>
                <w:lang w:val="en-US"/>
              </w:rPr>
              <w:t>2014</w:t>
            </w:r>
          </w:p>
        </w:tc>
        <w:tc>
          <w:tcPr>
            <w:tcW w:w="647" w:type="dxa"/>
            <w:vAlign w:val="center"/>
          </w:tcPr>
          <w:p w14:paraId="00AA57AD" w14:textId="77777777" w:rsidR="00644D02" w:rsidRPr="00644D02" w:rsidRDefault="00644D02" w:rsidP="00644D02">
            <w:pPr>
              <w:rPr>
                <w:sz w:val="13"/>
                <w:szCs w:val="13"/>
                <w:lang w:val="en-US"/>
              </w:rPr>
            </w:pPr>
          </w:p>
        </w:tc>
        <w:tc>
          <w:tcPr>
            <w:tcW w:w="647" w:type="dxa"/>
            <w:vAlign w:val="center"/>
          </w:tcPr>
          <w:p w14:paraId="21F228AB" w14:textId="77777777" w:rsidR="00644D02" w:rsidRPr="00644D02" w:rsidRDefault="00644D02" w:rsidP="00644D02">
            <w:pPr>
              <w:rPr>
                <w:sz w:val="13"/>
                <w:szCs w:val="13"/>
                <w:lang w:val="en-US"/>
              </w:rPr>
            </w:pPr>
          </w:p>
        </w:tc>
        <w:tc>
          <w:tcPr>
            <w:tcW w:w="647" w:type="dxa"/>
            <w:vAlign w:val="center"/>
          </w:tcPr>
          <w:p w14:paraId="620EF107" w14:textId="77777777" w:rsidR="00644D02" w:rsidRPr="00644D02" w:rsidRDefault="00644D02" w:rsidP="00644D02">
            <w:pPr>
              <w:rPr>
                <w:sz w:val="13"/>
                <w:szCs w:val="13"/>
                <w:lang w:val="en-US"/>
              </w:rPr>
            </w:pPr>
          </w:p>
        </w:tc>
        <w:tc>
          <w:tcPr>
            <w:tcW w:w="647" w:type="dxa"/>
            <w:vAlign w:val="center"/>
          </w:tcPr>
          <w:p w14:paraId="724174C4" w14:textId="77777777" w:rsidR="00644D02" w:rsidRPr="00644D02" w:rsidRDefault="00644D02" w:rsidP="00644D02">
            <w:pPr>
              <w:rPr>
                <w:sz w:val="13"/>
                <w:szCs w:val="13"/>
                <w:lang w:val="en-US"/>
              </w:rPr>
            </w:pPr>
          </w:p>
        </w:tc>
        <w:tc>
          <w:tcPr>
            <w:tcW w:w="647" w:type="dxa"/>
            <w:vAlign w:val="center"/>
          </w:tcPr>
          <w:p w14:paraId="542975D8" w14:textId="77777777" w:rsidR="00644D02" w:rsidRPr="00644D02" w:rsidRDefault="00644D02" w:rsidP="00644D02">
            <w:pPr>
              <w:rPr>
                <w:sz w:val="13"/>
                <w:szCs w:val="13"/>
                <w:lang w:val="en-US"/>
              </w:rPr>
            </w:pPr>
          </w:p>
        </w:tc>
        <w:tc>
          <w:tcPr>
            <w:tcW w:w="647" w:type="dxa"/>
            <w:vAlign w:val="center"/>
          </w:tcPr>
          <w:p w14:paraId="559AB603" w14:textId="77777777" w:rsidR="00644D02" w:rsidRPr="00644D02" w:rsidRDefault="00644D02" w:rsidP="00644D02">
            <w:pPr>
              <w:rPr>
                <w:sz w:val="13"/>
                <w:szCs w:val="13"/>
                <w:lang w:val="en-US"/>
              </w:rPr>
            </w:pPr>
          </w:p>
        </w:tc>
        <w:tc>
          <w:tcPr>
            <w:tcW w:w="647" w:type="dxa"/>
            <w:vAlign w:val="center"/>
          </w:tcPr>
          <w:p w14:paraId="2B456310" w14:textId="77777777" w:rsidR="00644D02" w:rsidRPr="00644D02" w:rsidRDefault="00644D02" w:rsidP="00644D02">
            <w:pPr>
              <w:rPr>
                <w:sz w:val="13"/>
                <w:szCs w:val="13"/>
                <w:lang w:val="en-US"/>
              </w:rPr>
            </w:pPr>
          </w:p>
        </w:tc>
        <w:tc>
          <w:tcPr>
            <w:tcW w:w="647" w:type="dxa"/>
            <w:vAlign w:val="center"/>
          </w:tcPr>
          <w:p w14:paraId="1FF62BB7" w14:textId="77777777" w:rsidR="00644D02" w:rsidRPr="00644D02" w:rsidRDefault="00644D02" w:rsidP="00644D02">
            <w:pPr>
              <w:rPr>
                <w:sz w:val="13"/>
                <w:szCs w:val="13"/>
                <w:lang w:val="en-US"/>
              </w:rPr>
            </w:pPr>
          </w:p>
        </w:tc>
        <w:tc>
          <w:tcPr>
            <w:tcW w:w="647" w:type="dxa"/>
            <w:vAlign w:val="center"/>
          </w:tcPr>
          <w:p w14:paraId="41F7C939" w14:textId="77777777" w:rsidR="00644D02" w:rsidRPr="00644D02" w:rsidRDefault="00644D02" w:rsidP="00644D02">
            <w:pPr>
              <w:rPr>
                <w:sz w:val="13"/>
                <w:szCs w:val="13"/>
                <w:lang w:val="en-US"/>
              </w:rPr>
            </w:pPr>
          </w:p>
        </w:tc>
        <w:tc>
          <w:tcPr>
            <w:tcW w:w="648" w:type="dxa"/>
            <w:vAlign w:val="center"/>
          </w:tcPr>
          <w:p w14:paraId="59EF5CF5" w14:textId="678B83F9" w:rsidR="00644D02" w:rsidRPr="00644D02" w:rsidRDefault="00644D02" w:rsidP="00644D02">
            <w:pPr>
              <w:rPr>
                <w:sz w:val="13"/>
                <w:szCs w:val="13"/>
                <w:lang w:val="en-US"/>
              </w:rPr>
            </w:pPr>
            <w:r w:rsidRPr="00644D02">
              <w:rPr>
                <w:sz w:val="13"/>
                <w:szCs w:val="13"/>
                <w:lang w:val="en-US"/>
              </w:rPr>
              <w:t>4.62%</w:t>
            </w:r>
          </w:p>
        </w:tc>
        <w:tc>
          <w:tcPr>
            <w:tcW w:w="648" w:type="dxa"/>
            <w:vAlign w:val="center"/>
          </w:tcPr>
          <w:p w14:paraId="4ECE0742" w14:textId="6E52E470" w:rsidR="00644D02" w:rsidRPr="00644D02" w:rsidRDefault="00644D02" w:rsidP="00644D02">
            <w:pPr>
              <w:rPr>
                <w:sz w:val="13"/>
                <w:szCs w:val="13"/>
                <w:lang w:val="en-US"/>
              </w:rPr>
            </w:pPr>
            <w:r w:rsidRPr="00644D02">
              <w:rPr>
                <w:sz w:val="13"/>
                <w:szCs w:val="13"/>
                <w:lang w:val="en-US"/>
              </w:rPr>
              <w:t>3.56%</w:t>
            </w:r>
          </w:p>
        </w:tc>
        <w:tc>
          <w:tcPr>
            <w:tcW w:w="648" w:type="dxa"/>
            <w:vAlign w:val="center"/>
          </w:tcPr>
          <w:p w14:paraId="50F94A2A" w14:textId="7D128117" w:rsidR="00644D02" w:rsidRPr="00644D02" w:rsidRDefault="00644D02" w:rsidP="00644D02">
            <w:pPr>
              <w:rPr>
                <w:sz w:val="13"/>
                <w:szCs w:val="13"/>
                <w:lang w:val="en-US"/>
              </w:rPr>
            </w:pPr>
            <w:r w:rsidRPr="00644D02">
              <w:rPr>
                <w:sz w:val="13"/>
                <w:szCs w:val="13"/>
                <w:lang w:val="en-US"/>
              </w:rPr>
              <w:t>-2.36%</w:t>
            </w:r>
          </w:p>
        </w:tc>
        <w:tc>
          <w:tcPr>
            <w:tcW w:w="648" w:type="dxa"/>
            <w:vAlign w:val="center"/>
          </w:tcPr>
          <w:p w14:paraId="069F0946" w14:textId="49EF387B" w:rsidR="00644D02" w:rsidRPr="00644D02" w:rsidRDefault="00644D02" w:rsidP="00644D02">
            <w:pPr>
              <w:rPr>
                <w:sz w:val="13"/>
                <w:szCs w:val="13"/>
                <w:lang w:val="en-US"/>
              </w:rPr>
            </w:pPr>
            <w:r w:rsidRPr="00644D02">
              <w:rPr>
                <w:sz w:val="13"/>
                <w:szCs w:val="13"/>
                <w:lang w:val="en-US"/>
              </w:rPr>
              <w:t>5.79%</w:t>
            </w:r>
          </w:p>
        </w:tc>
      </w:tr>
      <w:tr w:rsidR="00644D02" w14:paraId="474C05F3" w14:textId="77777777" w:rsidTr="00644D02">
        <w:tc>
          <w:tcPr>
            <w:tcW w:w="647" w:type="dxa"/>
            <w:shd w:val="clear" w:color="auto" w:fill="D9D9D9" w:themeFill="background1" w:themeFillShade="D9"/>
            <w:vAlign w:val="center"/>
          </w:tcPr>
          <w:p w14:paraId="378F9355" w14:textId="79569A86" w:rsidR="00644D02" w:rsidRPr="00644D02" w:rsidRDefault="00644D02" w:rsidP="00644D02">
            <w:pPr>
              <w:rPr>
                <w:sz w:val="13"/>
                <w:szCs w:val="13"/>
                <w:lang w:val="en-US"/>
              </w:rPr>
            </w:pPr>
            <w:r w:rsidRPr="00644D02">
              <w:rPr>
                <w:sz w:val="13"/>
                <w:szCs w:val="13"/>
                <w:lang w:val="en-US"/>
              </w:rPr>
              <w:t>2015</w:t>
            </w:r>
          </w:p>
        </w:tc>
        <w:tc>
          <w:tcPr>
            <w:tcW w:w="647" w:type="dxa"/>
            <w:vAlign w:val="center"/>
          </w:tcPr>
          <w:p w14:paraId="1A13FCF9" w14:textId="0A7310B4" w:rsidR="00644D02" w:rsidRPr="00644D02" w:rsidRDefault="00644D02" w:rsidP="00644D02">
            <w:pPr>
              <w:rPr>
                <w:sz w:val="13"/>
                <w:szCs w:val="13"/>
                <w:lang w:val="en-US"/>
              </w:rPr>
            </w:pPr>
            <w:r w:rsidRPr="00644D02">
              <w:rPr>
                <w:sz w:val="13"/>
                <w:szCs w:val="13"/>
                <w:lang w:val="en-US"/>
              </w:rPr>
              <w:t>5.76%</w:t>
            </w:r>
          </w:p>
        </w:tc>
        <w:tc>
          <w:tcPr>
            <w:tcW w:w="647" w:type="dxa"/>
            <w:vAlign w:val="center"/>
          </w:tcPr>
          <w:p w14:paraId="0BDC8ED0" w14:textId="7B546CFA" w:rsidR="00644D02" w:rsidRPr="00644D02" w:rsidRDefault="00644D02" w:rsidP="00644D02">
            <w:pPr>
              <w:rPr>
                <w:sz w:val="13"/>
                <w:szCs w:val="13"/>
                <w:lang w:val="en-US"/>
              </w:rPr>
            </w:pPr>
            <w:r w:rsidRPr="00644D02">
              <w:rPr>
                <w:sz w:val="13"/>
                <w:szCs w:val="13"/>
                <w:lang w:val="en-US"/>
              </w:rPr>
              <w:t>5.48%</w:t>
            </w:r>
          </w:p>
        </w:tc>
        <w:tc>
          <w:tcPr>
            <w:tcW w:w="647" w:type="dxa"/>
            <w:vAlign w:val="center"/>
          </w:tcPr>
          <w:p w14:paraId="275F7770" w14:textId="70E5BDBC" w:rsidR="00644D02" w:rsidRPr="00644D02" w:rsidRDefault="00644D02" w:rsidP="00644D02">
            <w:pPr>
              <w:rPr>
                <w:sz w:val="13"/>
                <w:szCs w:val="13"/>
                <w:lang w:val="en-US"/>
              </w:rPr>
            </w:pPr>
            <w:r w:rsidRPr="00644D02">
              <w:rPr>
                <w:sz w:val="13"/>
                <w:szCs w:val="13"/>
                <w:lang w:val="en-US"/>
              </w:rPr>
              <w:t>2.51%</w:t>
            </w:r>
          </w:p>
        </w:tc>
        <w:tc>
          <w:tcPr>
            <w:tcW w:w="647" w:type="dxa"/>
            <w:vAlign w:val="center"/>
          </w:tcPr>
          <w:p w14:paraId="1475CE2B" w14:textId="38ACCC82" w:rsidR="00644D02" w:rsidRPr="00644D02" w:rsidRDefault="00644D02" w:rsidP="00644D02">
            <w:pPr>
              <w:rPr>
                <w:sz w:val="13"/>
                <w:szCs w:val="13"/>
                <w:lang w:val="en-US"/>
              </w:rPr>
            </w:pPr>
            <w:r w:rsidRPr="00644D02">
              <w:rPr>
                <w:sz w:val="13"/>
                <w:szCs w:val="13"/>
                <w:lang w:val="en-US"/>
              </w:rPr>
              <w:t>-1.43%</w:t>
            </w:r>
          </w:p>
        </w:tc>
        <w:tc>
          <w:tcPr>
            <w:tcW w:w="647" w:type="dxa"/>
            <w:vAlign w:val="center"/>
          </w:tcPr>
          <w:p w14:paraId="0673103B" w14:textId="582E70C4" w:rsidR="00644D02" w:rsidRPr="00644D02" w:rsidRDefault="00644D02" w:rsidP="00644D02">
            <w:pPr>
              <w:rPr>
                <w:sz w:val="13"/>
                <w:szCs w:val="13"/>
                <w:lang w:val="en-US"/>
              </w:rPr>
            </w:pPr>
            <w:r w:rsidRPr="00644D02">
              <w:rPr>
                <w:sz w:val="13"/>
                <w:szCs w:val="13"/>
                <w:lang w:val="en-US"/>
              </w:rPr>
              <w:t>0.81%</w:t>
            </w:r>
          </w:p>
        </w:tc>
        <w:tc>
          <w:tcPr>
            <w:tcW w:w="647" w:type="dxa"/>
            <w:vAlign w:val="center"/>
          </w:tcPr>
          <w:p w14:paraId="07425B4A" w14:textId="08A8EB5E" w:rsidR="00644D02" w:rsidRPr="00644D02" w:rsidRDefault="00644D02" w:rsidP="00644D02">
            <w:pPr>
              <w:rPr>
                <w:sz w:val="13"/>
                <w:szCs w:val="13"/>
                <w:lang w:val="en-US"/>
              </w:rPr>
            </w:pPr>
            <w:r w:rsidRPr="00644D02">
              <w:rPr>
                <w:sz w:val="13"/>
                <w:szCs w:val="13"/>
                <w:lang w:val="en-US"/>
              </w:rPr>
              <w:t>-4.62%</w:t>
            </w:r>
          </w:p>
        </w:tc>
        <w:tc>
          <w:tcPr>
            <w:tcW w:w="647" w:type="dxa"/>
            <w:vAlign w:val="center"/>
          </w:tcPr>
          <w:p w14:paraId="17B4CDAC" w14:textId="535A38A8" w:rsidR="00644D02" w:rsidRPr="00644D02" w:rsidRDefault="00644D02" w:rsidP="00644D02">
            <w:pPr>
              <w:rPr>
                <w:sz w:val="13"/>
                <w:szCs w:val="13"/>
                <w:lang w:val="en-US"/>
              </w:rPr>
            </w:pPr>
            <w:r w:rsidRPr="00644D02">
              <w:rPr>
                <w:sz w:val="13"/>
                <w:szCs w:val="13"/>
                <w:lang w:val="en-US"/>
              </w:rPr>
              <w:t>4.32%</w:t>
            </w:r>
          </w:p>
        </w:tc>
        <w:tc>
          <w:tcPr>
            <w:tcW w:w="647" w:type="dxa"/>
            <w:vAlign w:val="center"/>
          </w:tcPr>
          <w:p w14:paraId="0E430446" w14:textId="473C781F" w:rsidR="00644D02" w:rsidRPr="00644D02" w:rsidRDefault="00644D02" w:rsidP="00644D02">
            <w:pPr>
              <w:rPr>
                <w:sz w:val="13"/>
                <w:szCs w:val="13"/>
                <w:lang w:val="en-US"/>
              </w:rPr>
            </w:pPr>
            <w:r w:rsidRPr="00644D02">
              <w:rPr>
                <w:sz w:val="13"/>
                <w:szCs w:val="13"/>
                <w:lang w:val="en-US"/>
              </w:rPr>
              <w:t>-6.23%</w:t>
            </w:r>
          </w:p>
        </w:tc>
        <w:tc>
          <w:tcPr>
            <w:tcW w:w="647" w:type="dxa"/>
            <w:vAlign w:val="center"/>
          </w:tcPr>
          <w:p w14:paraId="3C079B2A" w14:textId="75D91719" w:rsidR="00644D02" w:rsidRPr="00644D02" w:rsidRDefault="00644D02" w:rsidP="00644D02">
            <w:pPr>
              <w:rPr>
                <w:sz w:val="13"/>
                <w:szCs w:val="13"/>
                <w:lang w:val="en-US"/>
              </w:rPr>
            </w:pPr>
            <w:r w:rsidRPr="00644D02">
              <w:rPr>
                <w:sz w:val="13"/>
                <w:szCs w:val="13"/>
                <w:lang w:val="en-US"/>
              </w:rPr>
              <w:t>-3.23%</w:t>
            </w:r>
          </w:p>
        </w:tc>
        <w:tc>
          <w:tcPr>
            <w:tcW w:w="648" w:type="dxa"/>
            <w:vAlign w:val="center"/>
          </w:tcPr>
          <w:p w14:paraId="0AD87AC5" w14:textId="2458121F" w:rsidR="00644D02" w:rsidRPr="00644D02" w:rsidRDefault="00644D02" w:rsidP="00644D02">
            <w:pPr>
              <w:rPr>
                <w:sz w:val="13"/>
                <w:szCs w:val="13"/>
                <w:lang w:val="en-US"/>
              </w:rPr>
            </w:pPr>
            <w:r w:rsidRPr="00644D02">
              <w:rPr>
                <w:sz w:val="13"/>
                <w:szCs w:val="13"/>
                <w:lang w:val="en-US"/>
              </w:rPr>
              <w:t>6.70%</w:t>
            </w:r>
          </w:p>
        </w:tc>
        <w:tc>
          <w:tcPr>
            <w:tcW w:w="648" w:type="dxa"/>
            <w:vAlign w:val="center"/>
          </w:tcPr>
          <w:p w14:paraId="2DEA893F" w14:textId="61BBE270" w:rsidR="00644D02" w:rsidRPr="00644D02" w:rsidRDefault="00644D02" w:rsidP="00644D02">
            <w:pPr>
              <w:rPr>
                <w:sz w:val="13"/>
                <w:szCs w:val="13"/>
                <w:lang w:val="en-US"/>
              </w:rPr>
            </w:pPr>
            <w:r w:rsidRPr="00644D02">
              <w:rPr>
                <w:sz w:val="13"/>
                <w:szCs w:val="13"/>
                <w:lang w:val="en-US"/>
              </w:rPr>
              <w:t>3.93%</w:t>
            </w:r>
          </w:p>
        </w:tc>
        <w:tc>
          <w:tcPr>
            <w:tcW w:w="648" w:type="dxa"/>
            <w:vAlign w:val="center"/>
          </w:tcPr>
          <w:p w14:paraId="199FF9C6" w14:textId="7FEABED9" w:rsidR="00644D02" w:rsidRPr="00644D02" w:rsidRDefault="00644D02" w:rsidP="00644D02">
            <w:pPr>
              <w:rPr>
                <w:sz w:val="13"/>
                <w:szCs w:val="13"/>
                <w:lang w:val="en-US"/>
              </w:rPr>
            </w:pPr>
            <w:r w:rsidRPr="00644D02">
              <w:rPr>
                <w:sz w:val="13"/>
                <w:szCs w:val="13"/>
                <w:lang w:val="en-US"/>
              </w:rPr>
              <w:t>-3.49%</w:t>
            </w:r>
          </w:p>
        </w:tc>
        <w:tc>
          <w:tcPr>
            <w:tcW w:w="648" w:type="dxa"/>
            <w:vAlign w:val="center"/>
          </w:tcPr>
          <w:p w14:paraId="293DEA23" w14:textId="6BA874B4" w:rsidR="00644D02" w:rsidRPr="00644D02" w:rsidRDefault="00644D02" w:rsidP="00644D02">
            <w:pPr>
              <w:rPr>
                <w:sz w:val="13"/>
                <w:szCs w:val="13"/>
                <w:lang w:val="en-US"/>
              </w:rPr>
            </w:pPr>
            <w:r w:rsidRPr="00644D02">
              <w:rPr>
                <w:sz w:val="13"/>
                <w:szCs w:val="13"/>
                <w:lang w:val="en-US"/>
              </w:rPr>
              <w:t>9.85%</w:t>
            </w:r>
          </w:p>
        </w:tc>
      </w:tr>
      <w:tr w:rsidR="00644D02" w14:paraId="11141F11" w14:textId="77777777" w:rsidTr="00644D02">
        <w:tc>
          <w:tcPr>
            <w:tcW w:w="647" w:type="dxa"/>
            <w:shd w:val="clear" w:color="auto" w:fill="D9D9D9" w:themeFill="background1" w:themeFillShade="D9"/>
            <w:vAlign w:val="center"/>
          </w:tcPr>
          <w:p w14:paraId="4A8D0ED2" w14:textId="3892108E" w:rsidR="00644D02" w:rsidRPr="00644D02" w:rsidRDefault="00644D02" w:rsidP="00644D02">
            <w:pPr>
              <w:rPr>
                <w:sz w:val="13"/>
                <w:szCs w:val="13"/>
                <w:lang w:val="en-US"/>
              </w:rPr>
            </w:pPr>
            <w:r w:rsidRPr="00644D02">
              <w:rPr>
                <w:sz w:val="13"/>
                <w:szCs w:val="13"/>
                <w:lang w:val="en-US"/>
              </w:rPr>
              <w:t>2016</w:t>
            </w:r>
          </w:p>
        </w:tc>
        <w:tc>
          <w:tcPr>
            <w:tcW w:w="647" w:type="dxa"/>
            <w:vAlign w:val="center"/>
          </w:tcPr>
          <w:p w14:paraId="207E7C70" w14:textId="5691F878" w:rsidR="00644D02" w:rsidRPr="00644D02" w:rsidRDefault="00644D02" w:rsidP="00644D02">
            <w:pPr>
              <w:rPr>
                <w:sz w:val="13"/>
                <w:szCs w:val="13"/>
                <w:lang w:val="en-US"/>
              </w:rPr>
            </w:pPr>
            <w:r w:rsidRPr="00644D02">
              <w:rPr>
                <w:sz w:val="13"/>
                <w:szCs w:val="13"/>
                <w:lang w:val="en-US"/>
              </w:rPr>
              <w:t>-4.37%</w:t>
            </w:r>
          </w:p>
        </w:tc>
        <w:tc>
          <w:tcPr>
            <w:tcW w:w="647" w:type="dxa"/>
            <w:vAlign w:val="center"/>
          </w:tcPr>
          <w:p w14:paraId="2F78889D" w14:textId="38F5E81D" w:rsidR="00644D02" w:rsidRPr="00644D02" w:rsidRDefault="00644D02" w:rsidP="00644D02">
            <w:pPr>
              <w:rPr>
                <w:sz w:val="13"/>
                <w:szCs w:val="13"/>
                <w:lang w:val="en-US"/>
              </w:rPr>
            </w:pPr>
            <w:r w:rsidRPr="00644D02">
              <w:rPr>
                <w:sz w:val="13"/>
                <w:szCs w:val="13"/>
                <w:lang w:val="en-US"/>
              </w:rPr>
              <w:t>-5.35%</w:t>
            </w:r>
          </w:p>
        </w:tc>
        <w:tc>
          <w:tcPr>
            <w:tcW w:w="647" w:type="dxa"/>
            <w:vAlign w:val="center"/>
          </w:tcPr>
          <w:p w14:paraId="3E1DC427" w14:textId="4CD6762E" w:rsidR="00644D02" w:rsidRPr="00644D02" w:rsidRDefault="00644D02" w:rsidP="00644D02">
            <w:pPr>
              <w:rPr>
                <w:sz w:val="13"/>
                <w:szCs w:val="13"/>
                <w:lang w:val="en-US"/>
              </w:rPr>
            </w:pPr>
            <w:r w:rsidRPr="00644D02">
              <w:rPr>
                <w:sz w:val="13"/>
                <w:szCs w:val="13"/>
                <w:lang w:val="en-US"/>
              </w:rPr>
              <w:t>0.26%</w:t>
            </w:r>
          </w:p>
        </w:tc>
        <w:tc>
          <w:tcPr>
            <w:tcW w:w="647" w:type="dxa"/>
            <w:vAlign w:val="center"/>
          </w:tcPr>
          <w:p w14:paraId="16FAF332" w14:textId="5A808DCA" w:rsidR="00644D02" w:rsidRPr="00644D02" w:rsidRDefault="00644D02" w:rsidP="00644D02">
            <w:pPr>
              <w:rPr>
                <w:sz w:val="13"/>
                <w:szCs w:val="13"/>
                <w:lang w:val="en-US"/>
              </w:rPr>
            </w:pPr>
            <w:r w:rsidRPr="00644D02">
              <w:rPr>
                <w:sz w:val="13"/>
                <w:szCs w:val="13"/>
                <w:lang w:val="en-US"/>
              </w:rPr>
              <w:t>0.54%</w:t>
            </w:r>
          </w:p>
        </w:tc>
        <w:tc>
          <w:tcPr>
            <w:tcW w:w="647" w:type="dxa"/>
            <w:vAlign w:val="center"/>
          </w:tcPr>
          <w:p w14:paraId="345095A3" w14:textId="10CC5860" w:rsidR="00644D02" w:rsidRPr="00644D02" w:rsidRDefault="00644D02" w:rsidP="00644D02">
            <w:pPr>
              <w:rPr>
                <w:sz w:val="13"/>
                <w:szCs w:val="13"/>
                <w:lang w:val="en-US"/>
              </w:rPr>
            </w:pPr>
            <w:r w:rsidRPr="00644D02">
              <w:rPr>
                <w:sz w:val="13"/>
                <w:szCs w:val="13"/>
                <w:lang w:val="en-US"/>
              </w:rPr>
              <w:t>3.75%</w:t>
            </w:r>
          </w:p>
        </w:tc>
        <w:tc>
          <w:tcPr>
            <w:tcW w:w="647" w:type="dxa"/>
            <w:vAlign w:val="center"/>
          </w:tcPr>
          <w:p w14:paraId="12896B34" w14:textId="0A671420" w:rsidR="00644D02" w:rsidRPr="00644D02" w:rsidRDefault="00644D02" w:rsidP="00644D02">
            <w:pPr>
              <w:rPr>
                <w:sz w:val="13"/>
                <w:szCs w:val="13"/>
                <w:lang w:val="en-US"/>
              </w:rPr>
            </w:pPr>
            <w:r w:rsidRPr="00644D02">
              <w:rPr>
                <w:sz w:val="13"/>
                <w:szCs w:val="13"/>
                <w:lang w:val="en-US"/>
              </w:rPr>
              <w:t>-5.06%</w:t>
            </w:r>
          </w:p>
        </w:tc>
        <w:tc>
          <w:tcPr>
            <w:tcW w:w="647" w:type="dxa"/>
            <w:vAlign w:val="center"/>
          </w:tcPr>
          <w:p w14:paraId="3CE26D54" w14:textId="2F7BBA69" w:rsidR="00644D02" w:rsidRPr="00644D02" w:rsidRDefault="00644D02" w:rsidP="00644D02">
            <w:pPr>
              <w:rPr>
                <w:sz w:val="13"/>
                <w:szCs w:val="13"/>
                <w:lang w:val="en-US"/>
              </w:rPr>
            </w:pPr>
            <w:r w:rsidRPr="00644D02">
              <w:rPr>
                <w:sz w:val="13"/>
                <w:szCs w:val="13"/>
                <w:lang w:val="en-US"/>
              </w:rPr>
              <w:t>4.45%</w:t>
            </w:r>
          </w:p>
        </w:tc>
        <w:tc>
          <w:tcPr>
            <w:tcW w:w="647" w:type="dxa"/>
            <w:vAlign w:val="center"/>
          </w:tcPr>
          <w:p w14:paraId="5588F546" w14:textId="38AB1D1F" w:rsidR="00644D02" w:rsidRPr="00644D02" w:rsidRDefault="00644D02" w:rsidP="00644D02">
            <w:pPr>
              <w:rPr>
                <w:sz w:val="13"/>
                <w:szCs w:val="13"/>
                <w:lang w:val="en-US"/>
              </w:rPr>
            </w:pPr>
            <w:r w:rsidRPr="00644D02">
              <w:rPr>
                <w:sz w:val="13"/>
                <w:szCs w:val="13"/>
                <w:lang w:val="en-US"/>
              </w:rPr>
              <w:t>0.02%</w:t>
            </w:r>
          </w:p>
        </w:tc>
        <w:tc>
          <w:tcPr>
            <w:tcW w:w="647" w:type="dxa"/>
            <w:vAlign w:val="center"/>
          </w:tcPr>
          <w:p w14:paraId="02365C65" w14:textId="1788F2F9" w:rsidR="00644D02" w:rsidRPr="00644D02" w:rsidRDefault="00644D02" w:rsidP="00644D02">
            <w:pPr>
              <w:rPr>
                <w:sz w:val="13"/>
                <w:szCs w:val="13"/>
                <w:lang w:val="en-US"/>
              </w:rPr>
            </w:pPr>
            <w:r w:rsidRPr="00644D02">
              <w:rPr>
                <w:sz w:val="13"/>
                <w:szCs w:val="13"/>
                <w:lang w:val="en-US"/>
              </w:rPr>
              <w:t>0.66%</w:t>
            </w:r>
          </w:p>
        </w:tc>
        <w:tc>
          <w:tcPr>
            <w:tcW w:w="648" w:type="dxa"/>
            <w:vAlign w:val="center"/>
          </w:tcPr>
          <w:p w14:paraId="7A83399F" w14:textId="7BDE0395" w:rsidR="00644D02" w:rsidRPr="00644D02" w:rsidRDefault="00644D02" w:rsidP="00644D02">
            <w:pPr>
              <w:rPr>
                <w:sz w:val="13"/>
                <w:szCs w:val="13"/>
                <w:lang w:val="en-US"/>
              </w:rPr>
            </w:pPr>
            <w:r w:rsidRPr="00644D02">
              <w:rPr>
                <w:sz w:val="13"/>
                <w:szCs w:val="13"/>
                <w:lang w:val="en-US"/>
              </w:rPr>
              <w:t>-1.58%</w:t>
            </w:r>
          </w:p>
        </w:tc>
        <w:tc>
          <w:tcPr>
            <w:tcW w:w="648" w:type="dxa"/>
            <w:vAlign w:val="center"/>
          </w:tcPr>
          <w:p w14:paraId="17468C0B" w14:textId="0F3C7620" w:rsidR="00644D02" w:rsidRPr="00644D02" w:rsidRDefault="00644D02" w:rsidP="00644D02">
            <w:pPr>
              <w:rPr>
                <w:sz w:val="13"/>
                <w:szCs w:val="13"/>
                <w:lang w:val="en-US"/>
              </w:rPr>
            </w:pPr>
            <w:r w:rsidRPr="00644D02">
              <w:rPr>
                <w:sz w:val="13"/>
                <w:szCs w:val="13"/>
                <w:lang w:val="en-US"/>
              </w:rPr>
              <w:t>-0.63</w:t>
            </w:r>
          </w:p>
        </w:tc>
        <w:tc>
          <w:tcPr>
            <w:tcW w:w="648" w:type="dxa"/>
            <w:vAlign w:val="center"/>
          </w:tcPr>
          <w:p w14:paraId="08772F2E" w14:textId="1D8C5B01" w:rsidR="00644D02" w:rsidRPr="00644D02" w:rsidRDefault="00644D02" w:rsidP="00644D02">
            <w:pPr>
              <w:rPr>
                <w:sz w:val="13"/>
                <w:szCs w:val="13"/>
                <w:lang w:val="en-US"/>
              </w:rPr>
            </w:pPr>
            <w:r w:rsidRPr="00644D02">
              <w:rPr>
                <w:sz w:val="13"/>
                <w:szCs w:val="13"/>
                <w:lang w:val="en-US"/>
              </w:rPr>
              <w:t>5.57%</w:t>
            </w:r>
          </w:p>
        </w:tc>
        <w:tc>
          <w:tcPr>
            <w:tcW w:w="648" w:type="dxa"/>
            <w:vAlign w:val="center"/>
          </w:tcPr>
          <w:p w14:paraId="5F59BF7E" w14:textId="2C8C03BD" w:rsidR="00644D02" w:rsidRPr="00644D02" w:rsidRDefault="00644D02" w:rsidP="00644D02">
            <w:pPr>
              <w:rPr>
                <w:sz w:val="13"/>
                <w:szCs w:val="13"/>
                <w:lang w:val="en-US"/>
              </w:rPr>
            </w:pPr>
            <w:r w:rsidRPr="00644D02">
              <w:rPr>
                <w:sz w:val="13"/>
                <w:szCs w:val="13"/>
                <w:lang w:val="en-US"/>
              </w:rPr>
              <w:t>-2.00%</w:t>
            </w:r>
          </w:p>
        </w:tc>
      </w:tr>
      <w:tr w:rsidR="00644D02" w14:paraId="2AAF2082" w14:textId="77777777" w:rsidTr="00644D02">
        <w:tc>
          <w:tcPr>
            <w:tcW w:w="647" w:type="dxa"/>
            <w:shd w:val="clear" w:color="auto" w:fill="D9D9D9" w:themeFill="background1" w:themeFillShade="D9"/>
            <w:vAlign w:val="center"/>
          </w:tcPr>
          <w:p w14:paraId="4BF87DEE" w14:textId="1278435A" w:rsidR="00644D02" w:rsidRPr="00644D02" w:rsidRDefault="00644D02" w:rsidP="00644D02">
            <w:pPr>
              <w:rPr>
                <w:sz w:val="13"/>
                <w:szCs w:val="13"/>
                <w:lang w:val="en-US"/>
              </w:rPr>
            </w:pPr>
            <w:r w:rsidRPr="00644D02">
              <w:rPr>
                <w:sz w:val="13"/>
                <w:szCs w:val="13"/>
                <w:lang w:val="en-US"/>
              </w:rPr>
              <w:t>2017</w:t>
            </w:r>
          </w:p>
        </w:tc>
        <w:tc>
          <w:tcPr>
            <w:tcW w:w="647" w:type="dxa"/>
            <w:vAlign w:val="center"/>
          </w:tcPr>
          <w:p w14:paraId="1703FA7D" w14:textId="2ABC976F" w:rsidR="00644D02" w:rsidRPr="00644D02" w:rsidRDefault="00644D02" w:rsidP="00644D02">
            <w:pPr>
              <w:rPr>
                <w:sz w:val="13"/>
                <w:szCs w:val="13"/>
                <w:lang w:val="en-US"/>
              </w:rPr>
            </w:pPr>
            <w:r w:rsidRPr="00644D02">
              <w:rPr>
                <w:sz w:val="13"/>
                <w:szCs w:val="13"/>
                <w:lang w:val="en-US"/>
              </w:rPr>
              <w:t>-1.25%</w:t>
            </w:r>
          </w:p>
        </w:tc>
        <w:tc>
          <w:tcPr>
            <w:tcW w:w="647" w:type="dxa"/>
            <w:vAlign w:val="center"/>
          </w:tcPr>
          <w:p w14:paraId="0EAD5DE3" w14:textId="200A3898" w:rsidR="00644D02" w:rsidRPr="00644D02" w:rsidRDefault="00644D02" w:rsidP="00644D02">
            <w:pPr>
              <w:rPr>
                <w:sz w:val="13"/>
                <w:szCs w:val="13"/>
                <w:lang w:val="en-US"/>
              </w:rPr>
            </w:pPr>
            <w:r w:rsidRPr="00644D02">
              <w:rPr>
                <w:sz w:val="13"/>
                <w:szCs w:val="13"/>
                <w:lang w:val="en-US"/>
              </w:rPr>
              <w:t>3.77%</w:t>
            </w:r>
          </w:p>
        </w:tc>
        <w:tc>
          <w:tcPr>
            <w:tcW w:w="647" w:type="dxa"/>
            <w:vAlign w:val="center"/>
          </w:tcPr>
          <w:p w14:paraId="2BF78417" w14:textId="4329ECB2" w:rsidR="00644D02" w:rsidRPr="00644D02" w:rsidRDefault="00644D02" w:rsidP="00644D02">
            <w:pPr>
              <w:rPr>
                <w:sz w:val="13"/>
                <w:szCs w:val="13"/>
                <w:lang w:val="en-US"/>
              </w:rPr>
            </w:pPr>
            <w:r w:rsidRPr="00644D02">
              <w:rPr>
                <w:sz w:val="13"/>
                <w:szCs w:val="13"/>
                <w:lang w:val="en-US"/>
              </w:rPr>
              <w:t>4.26%</w:t>
            </w:r>
          </w:p>
        </w:tc>
        <w:tc>
          <w:tcPr>
            <w:tcW w:w="647" w:type="dxa"/>
            <w:vAlign w:val="center"/>
          </w:tcPr>
          <w:p w14:paraId="519329CA" w14:textId="3A6A3B76" w:rsidR="00644D02" w:rsidRPr="00644D02" w:rsidRDefault="00644D02" w:rsidP="00644D02">
            <w:pPr>
              <w:rPr>
                <w:sz w:val="13"/>
                <w:szCs w:val="13"/>
                <w:lang w:val="en-US"/>
              </w:rPr>
            </w:pPr>
            <w:r w:rsidRPr="00644D02">
              <w:rPr>
                <w:sz w:val="13"/>
                <w:szCs w:val="13"/>
                <w:lang w:val="en-US"/>
              </w:rPr>
              <w:t>1.98%</w:t>
            </w:r>
          </w:p>
        </w:tc>
        <w:tc>
          <w:tcPr>
            <w:tcW w:w="647" w:type="dxa"/>
            <w:vAlign w:val="center"/>
          </w:tcPr>
          <w:p w14:paraId="15B71682" w14:textId="1877ECB2" w:rsidR="00644D02" w:rsidRPr="00644D02" w:rsidRDefault="00644D02" w:rsidP="00644D02">
            <w:pPr>
              <w:rPr>
                <w:sz w:val="13"/>
                <w:szCs w:val="13"/>
                <w:lang w:val="en-US"/>
              </w:rPr>
            </w:pPr>
            <w:r w:rsidRPr="00644D02">
              <w:rPr>
                <w:sz w:val="13"/>
                <w:szCs w:val="13"/>
                <w:lang w:val="en-US"/>
              </w:rPr>
              <w:t>1.27%</w:t>
            </w:r>
          </w:p>
        </w:tc>
        <w:tc>
          <w:tcPr>
            <w:tcW w:w="647" w:type="dxa"/>
            <w:vAlign w:val="center"/>
          </w:tcPr>
          <w:p w14:paraId="2BE730D3" w14:textId="4BC01F70" w:rsidR="00644D02" w:rsidRPr="00644D02" w:rsidRDefault="00644D02" w:rsidP="00644D02">
            <w:pPr>
              <w:rPr>
                <w:sz w:val="13"/>
                <w:szCs w:val="13"/>
                <w:lang w:val="en-US"/>
              </w:rPr>
            </w:pPr>
            <w:r w:rsidRPr="00644D02">
              <w:rPr>
                <w:sz w:val="13"/>
                <w:szCs w:val="13"/>
                <w:lang w:val="en-US"/>
              </w:rPr>
              <w:t>-1.45%</w:t>
            </w:r>
          </w:p>
        </w:tc>
        <w:tc>
          <w:tcPr>
            <w:tcW w:w="647" w:type="dxa"/>
            <w:vAlign w:val="center"/>
          </w:tcPr>
          <w:p w14:paraId="5F48DFF3" w14:textId="2482DD10" w:rsidR="00644D02" w:rsidRPr="00644D02" w:rsidRDefault="00644D02" w:rsidP="00644D02">
            <w:pPr>
              <w:rPr>
                <w:sz w:val="13"/>
                <w:szCs w:val="13"/>
                <w:lang w:val="en-US"/>
              </w:rPr>
            </w:pPr>
            <w:r w:rsidRPr="00644D02">
              <w:rPr>
                <w:sz w:val="13"/>
                <w:szCs w:val="13"/>
                <w:lang w:val="en-US"/>
              </w:rPr>
              <w:t>-0.04%</w:t>
            </w:r>
          </w:p>
        </w:tc>
        <w:tc>
          <w:tcPr>
            <w:tcW w:w="647" w:type="dxa"/>
            <w:vAlign w:val="center"/>
          </w:tcPr>
          <w:p w14:paraId="09C44A31" w14:textId="4B676C54" w:rsidR="00644D02" w:rsidRPr="00644D02" w:rsidRDefault="00644D02" w:rsidP="00644D02">
            <w:pPr>
              <w:rPr>
                <w:sz w:val="13"/>
                <w:szCs w:val="13"/>
                <w:lang w:val="en-US"/>
              </w:rPr>
            </w:pPr>
            <w:r w:rsidRPr="00644D02">
              <w:rPr>
                <w:sz w:val="13"/>
                <w:szCs w:val="13"/>
                <w:lang w:val="en-US"/>
              </w:rPr>
              <w:t>-0.27%</w:t>
            </w:r>
          </w:p>
        </w:tc>
        <w:tc>
          <w:tcPr>
            <w:tcW w:w="647" w:type="dxa"/>
            <w:vAlign w:val="center"/>
          </w:tcPr>
          <w:p w14:paraId="4A5EF645" w14:textId="59B3B139" w:rsidR="00644D02" w:rsidRPr="00644D02" w:rsidRDefault="00644D02" w:rsidP="00644D02">
            <w:pPr>
              <w:rPr>
                <w:sz w:val="13"/>
                <w:szCs w:val="13"/>
                <w:lang w:val="en-US"/>
              </w:rPr>
            </w:pPr>
            <w:r w:rsidRPr="00644D02">
              <w:rPr>
                <w:sz w:val="13"/>
                <w:szCs w:val="13"/>
                <w:lang w:val="en-US"/>
              </w:rPr>
              <w:t>1.62%</w:t>
            </w:r>
          </w:p>
        </w:tc>
        <w:tc>
          <w:tcPr>
            <w:tcW w:w="648" w:type="dxa"/>
            <w:vAlign w:val="center"/>
          </w:tcPr>
          <w:p w14:paraId="381A7EF2" w14:textId="5DA2C853" w:rsidR="00644D02" w:rsidRPr="00644D02" w:rsidRDefault="00644D02" w:rsidP="00644D02">
            <w:pPr>
              <w:rPr>
                <w:sz w:val="13"/>
                <w:szCs w:val="13"/>
                <w:lang w:val="en-US"/>
              </w:rPr>
            </w:pPr>
            <w:r w:rsidRPr="00644D02">
              <w:rPr>
                <w:sz w:val="13"/>
                <w:szCs w:val="13"/>
                <w:lang w:val="en-US"/>
              </w:rPr>
              <w:t>1.62%</w:t>
            </w:r>
          </w:p>
        </w:tc>
        <w:tc>
          <w:tcPr>
            <w:tcW w:w="648" w:type="dxa"/>
            <w:vAlign w:val="center"/>
          </w:tcPr>
          <w:p w14:paraId="6B84E77F" w14:textId="48EBF237" w:rsidR="00644D02" w:rsidRPr="00644D02" w:rsidRDefault="00644D02" w:rsidP="00644D02">
            <w:pPr>
              <w:rPr>
                <w:sz w:val="13"/>
                <w:szCs w:val="13"/>
                <w:lang w:val="en-US"/>
              </w:rPr>
            </w:pPr>
            <w:r w:rsidRPr="00644D02">
              <w:rPr>
                <w:sz w:val="13"/>
                <w:szCs w:val="13"/>
                <w:lang w:val="en-US"/>
              </w:rPr>
              <w:t>-2.31%</w:t>
            </w:r>
          </w:p>
        </w:tc>
        <w:tc>
          <w:tcPr>
            <w:tcW w:w="648" w:type="dxa"/>
            <w:vAlign w:val="center"/>
          </w:tcPr>
          <w:p w14:paraId="64B1EE51" w14:textId="1EB80E8F" w:rsidR="00644D02" w:rsidRPr="00644D02" w:rsidRDefault="00644D02" w:rsidP="00644D02">
            <w:pPr>
              <w:rPr>
                <w:sz w:val="13"/>
                <w:szCs w:val="13"/>
                <w:lang w:val="en-US"/>
              </w:rPr>
            </w:pPr>
            <w:r w:rsidRPr="00644D02">
              <w:rPr>
                <w:sz w:val="13"/>
                <w:szCs w:val="13"/>
                <w:lang w:val="en-US"/>
              </w:rPr>
              <w:t>-0.65%</w:t>
            </w:r>
          </w:p>
        </w:tc>
        <w:tc>
          <w:tcPr>
            <w:tcW w:w="648" w:type="dxa"/>
            <w:vAlign w:val="center"/>
          </w:tcPr>
          <w:p w14:paraId="19108AF2" w14:textId="161350FA" w:rsidR="00644D02" w:rsidRPr="00644D02" w:rsidRDefault="00644D02" w:rsidP="00644D02">
            <w:pPr>
              <w:rPr>
                <w:sz w:val="13"/>
                <w:szCs w:val="13"/>
                <w:lang w:val="en-US"/>
              </w:rPr>
            </w:pPr>
            <w:r w:rsidRPr="00644D02">
              <w:rPr>
                <w:sz w:val="13"/>
                <w:szCs w:val="13"/>
                <w:lang w:val="en-US"/>
              </w:rPr>
              <w:t>8.40%</w:t>
            </w:r>
          </w:p>
        </w:tc>
      </w:tr>
      <w:tr w:rsidR="00644D02" w14:paraId="30FE8B77" w14:textId="77777777" w:rsidTr="00644D02">
        <w:tc>
          <w:tcPr>
            <w:tcW w:w="647" w:type="dxa"/>
            <w:shd w:val="clear" w:color="auto" w:fill="D9D9D9" w:themeFill="background1" w:themeFillShade="D9"/>
            <w:vAlign w:val="center"/>
          </w:tcPr>
          <w:p w14:paraId="1B7EF6B7" w14:textId="2CEBF41D" w:rsidR="00644D02" w:rsidRPr="00644D02" w:rsidRDefault="00644D02" w:rsidP="00644D02">
            <w:pPr>
              <w:rPr>
                <w:sz w:val="13"/>
                <w:szCs w:val="13"/>
                <w:lang w:val="en-US"/>
              </w:rPr>
            </w:pPr>
            <w:r w:rsidRPr="00644D02">
              <w:rPr>
                <w:sz w:val="13"/>
                <w:szCs w:val="13"/>
                <w:lang w:val="en-US"/>
              </w:rPr>
              <w:t>2018</w:t>
            </w:r>
          </w:p>
        </w:tc>
        <w:tc>
          <w:tcPr>
            <w:tcW w:w="647" w:type="dxa"/>
            <w:vAlign w:val="center"/>
          </w:tcPr>
          <w:p w14:paraId="70CB9C00" w14:textId="7300BAA6" w:rsidR="00644D02" w:rsidRPr="00644D02" w:rsidRDefault="00644D02" w:rsidP="00644D02">
            <w:pPr>
              <w:rPr>
                <w:sz w:val="13"/>
                <w:szCs w:val="13"/>
                <w:lang w:val="en-US"/>
              </w:rPr>
            </w:pPr>
            <w:r w:rsidRPr="00644D02">
              <w:rPr>
                <w:sz w:val="13"/>
                <w:szCs w:val="13"/>
                <w:lang w:val="en-US"/>
              </w:rPr>
              <w:t>2.61%</w:t>
            </w:r>
          </w:p>
        </w:tc>
        <w:tc>
          <w:tcPr>
            <w:tcW w:w="647" w:type="dxa"/>
            <w:vAlign w:val="center"/>
          </w:tcPr>
          <w:p w14:paraId="4E2C9DD1" w14:textId="7E056265" w:rsidR="00644D02" w:rsidRPr="00644D02" w:rsidRDefault="00644D02" w:rsidP="00644D02">
            <w:pPr>
              <w:rPr>
                <w:sz w:val="13"/>
                <w:szCs w:val="13"/>
                <w:lang w:val="en-US"/>
              </w:rPr>
            </w:pPr>
            <w:r w:rsidRPr="00644D02">
              <w:rPr>
                <w:sz w:val="13"/>
                <w:szCs w:val="13"/>
                <w:lang w:val="en-US"/>
              </w:rPr>
              <w:t>-3.34%</w:t>
            </w:r>
          </w:p>
        </w:tc>
        <w:tc>
          <w:tcPr>
            <w:tcW w:w="647" w:type="dxa"/>
            <w:vAlign w:val="center"/>
          </w:tcPr>
          <w:p w14:paraId="20AF3178" w14:textId="2F9CB2B4" w:rsidR="00644D02" w:rsidRPr="00644D02" w:rsidRDefault="00644D02" w:rsidP="00644D02">
            <w:pPr>
              <w:rPr>
                <w:sz w:val="13"/>
                <w:szCs w:val="13"/>
                <w:lang w:val="en-US"/>
              </w:rPr>
            </w:pPr>
            <w:r w:rsidRPr="00644D02">
              <w:rPr>
                <w:sz w:val="13"/>
                <w:szCs w:val="13"/>
                <w:lang w:val="en-US"/>
              </w:rPr>
              <w:t>-2.36%</w:t>
            </w:r>
          </w:p>
        </w:tc>
        <w:tc>
          <w:tcPr>
            <w:tcW w:w="647" w:type="dxa"/>
            <w:vAlign w:val="center"/>
          </w:tcPr>
          <w:p w14:paraId="7C099A90" w14:textId="29808087" w:rsidR="00644D02" w:rsidRPr="00644D02" w:rsidRDefault="00644D02" w:rsidP="00644D02">
            <w:pPr>
              <w:rPr>
                <w:sz w:val="13"/>
                <w:szCs w:val="13"/>
                <w:lang w:val="en-US"/>
              </w:rPr>
            </w:pPr>
            <w:r w:rsidRPr="00644D02">
              <w:rPr>
                <w:sz w:val="13"/>
                <w:szCs w:val="13"/>
                <w:lang w:val="en-US"/>
              </w:rPr>
              <w:t>4.38%</w:t>
            </w:r>
          </w:p>
        </w:tc>
        <w:tc>
          <w:tcPr>
            <w:tcW w:w="647" w:type="dxa"/>
            <w:vAlign w:val="center"/>
          </w:tcPr>
          <w:p w14:paraId="177B7B94" w14:textId="41CF8C6A" w:rsidR="00644D02" w:rsidRPr="00644D02" w:rsidRDefault="00644D02" w:rsidP="00644D02">
            <w:pPr>
              <w:rPr>
                <w:sz w:val="13"/>
                <w:szCs w:val="13"/>
                <w:lang w:val="en-US"/>
              </w:rPr>
            </w:pPr>
            <w:r w:rsidRPr="00644D02">
              <w:rPr>
                <w:sz w:val="13"/>
                <w:szCs w:val="13"/>
                <w:lang w:val="en-US"/>
              </w:rPr>
              <w:t>0.90%</w:t>
            </w:r>
          </w:p>
        </w:tc>
        <w:tc>
          <w:tcPr>
            <w:tcW w:w="647" w:type="dxa"/>
            <w:vAlign w:val="center"/>
          </w:tcPr>
          <w:p w14:paraId="77409A94" w14:textId="524AA263" w:rsidR="00644D02" w:rsidRPr="00644D02" w:rsidRDefault="00644D02" w:rsidP="00644D02">
            <w:pPr>
              <w:rPr>
                <w:sz w:val="13"/>
                <w:szCs w:val="13"/>
                <w:lang w:val="en-US"/>
              </w:rPr>
            </w:pPr>
            <w:r w:rsidRPr="00644D02">
              <w:rPr>
                <w:sz w:val="13"/>
                <w:szCs w:val="13"/>
                <w:lang w:val="en-US"/>
              </w:rPr>
              <w:t>-1.26%</w:t>
            </w:r>
          </w:p>
        </w:tc>
        <w:tc>
          <w:tcPr>
            <w:tcW w:w="647" w:type="dxa"/>
            <w:vAlign w:val="center"/>
          </w:tcPr>
          <w:p w14:paraId="04771A5A" w14:textId="14448EAD" w:rsidR="00644D02" w:rsidRPr="00644D02" w:rsidRDefault="00644D02" w:rsidP="00644D02">
            <w:pPr>
              <w:rPr>
                <w:sz w:val="13"/>
                <w:szCs w:val="13"/>
                <w:lang w:val="en-US"/>
              </w:rPr>
            </w:pPr>
            <w:r w:rsidRPr="00644D02">
              <w:rPr>
                <w:sz w:val="13"/>
                <w:szCs w:val="13"/>
                <w:lang w:val="en-US"/>
              </w:rPr>
              <w:t>2.68%</w:t>
            </w:r>
          </w:p>
        </w:tc>
        <w:tc>
          <w:tcPr>
            <w:tcW w:w="647" w:type="dxa"/>
            <w:vAlign w:val="center"/>
          </w:tcPr>
          <w:p w14:paraId="683AA877" w14:textId="25224D1B" w:rsidR="00644D02" w:rsidRPr="00644D02" w:rsidRDefault="00644D02" w:rsidP="00644D02">
            <w:pPr>
              <w:rPr>
                <w:sz w:val="13"/>
                <w:szCs w:val="13"/>
                <w:lang w:val="en-US"/>
              </w:rPr>
            </w:pPr>
            <w:r w:rsidRPr="00644D02">
              <w:rPr>
                <w:sz w:val="13"/>
                <w:szCs w:val="13"/>
                <w:lang w:val="en-US"/>
              </w:rPr>
              <w:t>-1.91%</w:t>
            </w:r>
          </w:p>
        </w:tc>
        <w:tc>
          <w:tcPr>
            <w:tcW w:w="647" w:type="dxa"/>
            <w:vAlign w:val="center"/>
          </w:tcPr>
          <w:p w14:paraId="2D5DB8CB" w14:textId="2FF4B883" w:rsidR="00644D02" w:rsidRPr="00644D02" w:rsidRDefault="00644D02" w:rsidP="00644D02">
            <w:pPr>
              <w:rPr>
                <w:sz w:val="13"/>
                <w:szCs w:val="13"/>
                <w:lang w:val="en-US"/>
              </w:rPr>
            </w:pPr>
            <w:r w:rsidRPr="00644D02">
              <w:rPr>
                <w:sz w:val="13"/>
                <w:szCs w:val="13"/>
                <w:lang w:val="en-US"/>
              </w:rPr>
              <w:t>-1.10%</w:t>
            </w:r>
          </w:p>
        </w:tc>
        <w:tc>
          <w:tcPr>
            <w:tcW w:w="648" w:type="dxa"/>
            <w:vAlign w:val="center"/>
          </w:tcPr>
          <w:p w14:paraId="7F871C3C" w14:textId="5A5739CD" w:rsidR="00644D02" w:rsidRPr="00644D02" w:rsidRDefault="00644D02" w:rsidP="00644D02">
            <w:pPr>
              <w:rPr>
                <w:sz w:val="13"/>
                <w:szCs w:val="13"/>
                <w:lang w:val="en-US"/>
              </w:rPr>
            </w:pPr>
            <w:r w:rsidRPr="00644D02">
              <w:rPr>
                <w:sz w:val="13"/>
                <w:szCs w:val="13"/>
                <w:lang w:val="en-US"/>
              </w:rPr>
              <w:t>-7.80%</w:t>
            </w:r>
          </w:p>
        </w:tc>
        <w:tc>
          <w:tcPr>
            <w:tcW w:w="648" w:type="dxa"/>
            <w:vAlign w:val="center"/>
          </w:tcPr>
          <w:p w14:paraId="7D53177D" w14:textId="5F5160DC" w:rsidR="00644D02" w:rsidRPr="00644D02" w:rsidRDefault="00644D02" w:rsidP="00644D02">
            <w:pPr>
              <w:rPr>
                <w:sz w:val="13"/>
                <w:szCs w:val="13"/>
                <w:lang w:val="en-US"/>
              </w:rPr>
            </w:pPr>
            <w:r w:rsidRPr="00644D02">
              <w:rPr>
                <w:sz w:val="13"/>
                <w:szCs w:val="13"/>
                <w:lang w:val="en-US"/>
              </w:rPr>
              <w:t>-2.50%</w:t>
            </w:r>
          </w:p>
        </w:tc>
        <w:tc>
          <w:tcPr>
            <w:tcW w:w="648" w:type="dxa"/>
            <w:vAlign w:val="center"/>
          </w:tcPr>
          <w:p w14:paraId="77B9139D" w14:textId="4FFDCDA2" w:rsidR="00644D02" w:rsidRPr="00644D02" w:rsidRDefault="00644D02" w:rsidP="00644D02">
            <w:pPr>
              <w:rPr>
                <w:sz w:val="13"/>
                <w:szCs w:val="13"/>
                <w:lang w:val="en-US"/>
              </w:rPr>
            </w:pPr>
            <w:r w:rsidRPr="00644D02">
              <w:rPr>
                <w:sz w:val="13"/>
                <w:szCs w:val="13"/>
                <w:lang w:val="en-US"/>
              </w:rPr>
              <w:t>-5.64%</w:t>
            </w:r>
          </w:p>
        </w:tc>
        <w:tc>
          <w:tcPr>
            <w:tcW w:w="648" w:type="dxa"/>
            <w:vAlign w:val="center"/>
          </w:tcPr>
          <w:p w14:paraId="12325BF5" w14:textId="56C6A767" w:rsidR="00644D02" w:rsidRPr="00644D02" w:rsidRDefault="00644D02" w:rsidP="00644D02">
            <w:pPr>
              <w:rPr>
                <w:sz w:val="13"/>
                <w:szCs w:val="13"/>
                <w:lang w:val="en-US"/>
              </w:rPr>
            </w:pPr>
            <w:r w:rsidRPr="00644D02">
              <w:rPr>
                <w:sz w:val="13"/>
                <w:szCs w:val="13"/>
                <w:lang w:val="en-US"/>
              </w:rPr>
              <w:t>-14.90%</w:t>
            </w:r>
          </w:p>
        </w:tc>
      </w:tr>
      <w:tr w:rsidR="00644D02" w14:paraId="3BB441FF" w14:textId="77777777" w:rsidTr="00644D02">
        <w:tc>
          <w:tcPr>
            <w:tcW w:w="647" w:type="dxa"/>
            <w:shd w:val="clear" w:color="auto" w:fill="D9D9D9" w:themeFill="background1" w:themeFillShade="D9"/>
            <w:vAlign w:val="center"/>
          </w:tcPr>
          <w:p w14:paraId="30391652" w14:textId="1E10F54F" w:rsidR="00644D02" w:rsidRPr="00644D02" w:rsidRDefault="00644D02" w:rsidP="00644D02">
            <w:pPr>
              <w:rPr>
                <w:sz w:val="13"/>
                <w:szCs w:val="13"/>
                <w:lang w:val="en-US"/>
              </w:rPr>
            </w:pPr>
            <w:r w:rsidRPr="00644D02">
              <w:rPr>
                <w:sz w:val="13"/>
                <w:szCs w:val="13"/>
                <w:lang w:val="en-US"/>
              </w:rPr>
              <w:t>2019</w:t>
            </w:r>
          </w:p>
        </w:tc>
        <w:tc>
          <w:tcPr>
            <w:tcW w:w="647" w:type="dxa"/>
            <w:vAlign w:val="center"/>
          </w:tcPr>
          <w:p w14:paraId="191A0336" w14:textId="0B9F97D7" w:rsidR="00644D02" w:rsidRPr="00644D02" w:rsidRDefault="00644D02" w:rsidP="00644D02">
            <w:pPr>
              <w:rPr>
                <w:sz w:val="13"/>
                <w:szCs w:val="13"/>
                <w:lang w:val="en-US"/>
              </w:rPr>
            </w:pPr>
            <w:r w:rsidRPr="00644D02">
              <w:rPr>
                <w:sz w:val="13"/>
                <w:szCs w:val="13"/>
                <w:lang w:val="en-US"/>
              </w:rPr>
              <w:t>5.57%</w:t>
            </w:r>
          </w:p>
        </w:tc>
        <w:tc>
          <w:tcPr>
            <w:tcW w:w="647" w:type="dxa"/>
            <w:vAlign w:val="center"/>
          </w:tcPr>
          <w:p w14:paraId="15F9E3AB" w14:textId="0490D92B" w:rsidR="00644D02" w:rsidRPr="00644D02" w:rsidRDefault="00644D02" w:rsidP="00644D02">
            <w:pPr>
              <w:rPr>
                <w:sz w:val="13"/>
                <w:szCs w:val="13"/>
                <w:lang w:val="en-US"/>
              </w:rPr>
            </w:pPr>
            <w:r w:rsidRPr="00644D02">
              <w:rPr>
                <w:sz w:val="13"/>
                <w:szCs w:val="13"/>
                <w:lang w:val="en-US"/>
              </w:rPr>
              <w:t>4.01%</w:t>
            </w:r>
          </w:p>
        </w:tc>
        <w:tc>
          <w:tcPr>
            <w:tcW w:w="647" w:type="dxa"/>
            <w:vAlign w:val="center"/>
          </w:tcPr>
          <w:p w14:paraId="2E9FE1AD" w14:textId="43E7F3BA" w:rsidR="00644D02" w:rsidRPr="00644D02" w:rsidRDefault="00644D02" w:rsidP="00644D02">
            <w:pPr>
              <w:rPr>
                <w:sz w:val="13"/>
                <w:szCs w:val="13"/>
                <w:lang w:val="en-US"/>
              </w:rPr>
            </w:pPr>
            <w:r w:rsidRPr="00644D02">
              <w:rPr>
                <w:sz w:val="13"/>
                <w:szCs w:val="13"/>
                <w:lang w:val="en-US"/>
              </w:rPr>
              <w:t>1.00%</w:t>
            </w:r>
          </w:p>
        </w:tc>
        <w:tc>
          <w:tcPr>
            <w:tcW w:w="647" w:type="dxa"/>
            <w:vAlign w:val="center"/>
          </w:tcPr>
          <w:p w14:paraId="46A1796C" w14:textId="347E0DBF" w:rsidR="00644D02" w:rsidRPr="00644D02" w:rsidRDefault="00644D02" w:rsidP="00644D02">
            <w:pPr>
              <w:rPr>
                <w:sz w:val="13"/>
                <w:szCs w:val="13"/>
                <w:lang w:val="en-US"/>
              </w:rPr>
            </w:pPr>
            <w:r w:rsidRPr="00644D02">
              <w:rPr>
                <w:sz w:val="13"/>
                <w:szCs w:val="13"/>
                <w:lang w:val="en-US"/>
              </w:rPr>
              <w:t>3.69%</w:t>
            </w:r>
          </w:p>
        </w:tc>
        <w:tc>
          <w:tcPr>
            <w:tcW w:w="647" w:type="dxa"/>
            <w:vAlign w:val="center"/>
          </w:tcPr>
          <w:p w14:paraId="3BBBFA54" w14:textId="62E236CB" w:rsidR="00644D02" w:rsidRPr="00644D02" w:rsidRDefault="00644D02" w:rsidP="00644D02">
            <w:pPr>
              <w:rPr>
                <w:sz w:val="13"/>
                <w:szCs w:val="13"/>
                <w:lang w:val="en-US"/>
              </w:rPr>
            </w:pPr>
            <w:r w:rsidRPr="00644D02">
              <w:rPr>
                <w:sz w:val="13"/>
                <w:szCs w:val="13"/>
                <w:lang w:val="en-US"/>
              </w:rPr>
              <w:t>-4.25%</w:t>
            </w:r>
          </w:p>
        </w:tc>
        <w:tc>
          <w:tcPr>
            <w:tcW w:w="647" w:type="dxa"/>
            <w:vAlign w:val="center"/>
          </w:tcPr>
          <w:p w14:paraId="357F370B" w14:textId="1B5D04DB" w:rsidR="00644D02" w:rsidRPr="00644D02" w:rsidRDefault="00644D02" w:rsidP="00644D02">
            <w:pPr>
              <w:rPr>
                <w:sz w:val="13"/>
                <w:szCs w:val="13"/>
                <w:lang w:val="en-US"/>
              </w:rPr>
            </w:pPr>
            <w:r w:rsidRPr="00644D02">
              <w:rPr>
                <w:sz w:val="13"/>
                <w:szCs w:val="13"/>
                <w:lang w:val="en-US"/>
              </w:rPr>
              <w:t>3.18%</w:t>
            </w:r>
          </w:p>
        </w:tc>
        <w:tc>
          <w:tcPr>
            <w:tcW w:w="647" w:type="dxa"/>
            <w:vAlign w:val="center"/>
          </w:tcPr>
          <w:p w14:paraId="6C6F6242" w14:textId="5A9009BE" w:rsidR="00644D02" w:rsidRPr="00644D02" w:rsidRDefault="00644D02" w:rsidP="00644D02">
            <w:pPr>
              <w:rPr>
                <w:sz w:val="13"/>
                <w:szCs w:val="13"/>
                <w:lang w:val="en-US"/>
              </w:rPr>
            </w:pPr>
            <w:r w:rsidRPr="00644D02">
              <w:rPr>
                <w:sz w:val="13"/>
                <w:szCs w:val="13"/>
                <w:lang w:val="en-US"/>
              </w:rPr>
              <w:t>0.00%</w:t>
            </w:r>
          </w:p>
        </w:tc>
        <w:tc>
          <w:tcPr>
            <w:tcW w:w="647" w:type="dxa"/>
            <w:vAlign w:val="center"/>
          </w:tcPr>
          <w:p w14:paraId="08195FD6" w14:textId="62D2A31A" w:rsidR="00644D02" w:rsidRPr="00644D02" w:rsidRDefault="00644D02" w:rsidP="00644D02">
            <w:pPr>
              <w:rPr>
                <w:sz w:val="13"/>
                <w:szCs w:val="13"/>
                <w:lang w:val="en-US"/>
              </w:rPr>
            </w:pPr>
            <w:r w:rsidRPr="00644D02">
              <w:rPr>
                <w:sz w:val="13"/>
                <w:szCs w:val="13"/>
                <w:lang w:val="en-US"/>
              </w:rPr>
              <w:t>-0.81%</w:t>
            </w:r>
          </w:p>
        </w:tc>
        <w:tc>
          <w:tcPr>
            <w:tcW w:w="647" w:type="dxa"/>
            <w:vAlign w:val="center"/>
          </w:tcPr>
          <w:p w14:paraId="507E50E9" w14:textId="45C7F78F" w:rsidR="00644D02" w:rsidRPr="00644D02" w:rsidRDefault="00644D02" w:rsidP="00644D02">
            <w:pPr>
              <w:rPr>
                <w:sz w:val="13"/>
                <w:szCs w:val="13"/>
                <w:lang w:val="en-US"/>
              </w:rPr>
            </w:pPr>
            <w:r w:rsidRPr="00644D02">
              <w:rPr>
                <w:sz w:val="13"/>
                <w:szCs w:val="13"/>
                <w:lang w:val="en-US"/>
              </w:rPr>
              <w:t>1.61%</w:t>
            </w:r>
          </w:p>
        </w:tc>
        <w:tc>
          <w:tcPr>
            <w:tcW w:w="648" w:type="dxa"/>
            <w:vAlign w:val="center"/>
          </w:tcPr>
          <w:p w14:paraId="18F2CF04" w14:textId="2370FDFF" w:rsidR="00644D02" w:rsidRPr="00644D02" w:rsidRDefault="00644D02" w:rsidP="00644D02">
            <w:pPr>
              <w:rPr>
                <w:sz w:val="13"/>
                <w:szCs w:val="13"/>
                <w:lang w:val="en-US"/>
              </w:rPr>
            </w:pPr>
            <w:r w:rsidRPr="00644D02">
              <w:rPr>
                <w:sz w:val="13"/>
                <w:szCs w:val="13"/>
                <w:lang w:val="en-US"/>
              </w:rPr>
              <w:t>-1.57%</w:t>
            </w:r>
          </w:p>
        </w:tc>
        <w:tc>
          <w:tcPr>
            <w:tcW w:w="648" w:type="dxa"/>
            <w:vAlign w:val="center"/>
          </w:tcPr>
          <w:p w14:paraId="35FC9429" w14:textId="40CCD955" w:rsidR="00644D02" w:rsidRPr="00644D02" w:rsidRDefault="00644D02" w:rsidP="00644D02">
            <w:pPr>
              <w:rPr>
                <w:sz w:val="13"/>
                <w:szCs w:val="13"/>
                <w:lang w:val="en-US"/>
              </w:rPr>
            </w:pPr>
            <w:r w:rsidRPr="00644D02">
              <w:rPr>
                <w:sz w:val="13"/>
                <w:szCs w:val="13"/>
                <w:lang w:val="en-US"/>
              </w:rPr>
              <w:t>0.00%</w:t>
            </w:r>
          </w:p>
        </w:tc>
        <w:tc>
          <w:tcPr>
            <w:tcW w:w="648" w:type="dxa"/>
            <w:vAlign w:val="center"/>
          </w:tcPr>
          <w:p w14:paraId="35CCBC37" w14:textId="0DBA667A" w:rsidR="00644D02" w:rsidRPr="00644D02" w:rsidRDefault="00644D02" w:rsidP="00644D02">
            <w:pPr>
              <w:rPr>
                <w:sz w:val="13"/>
                <w:szCs w:val="13"/>
                <w:lang w:val="en-US"/>
              </w:rPr>
            </w:pPr>
            <w:r w:rsidRPr="00644D02">
              <w:rPr>
                <w:sz w:val="13"/>
                <w:szCs w:val="13"/>
                <w:lang w:val="en-US"/>
              </w:rPr>
              <w:t>0.09%</w:t>
            </w:r>
          </w:p>
        </w:tc>
        <w:tc>
          <w:tcPr>
            <w:tcW w:w="648" w:type="dxa"/>
            <w:vAlign w:val="center"/>
          </w:tcPr>
          <w:p w14:paraId="0A5D6339" w14:textId="42FA0C92" w:rsidR="00644D02" w:rsidRPr="00644D02" w:rsidRDefault="00644D02" w:rsidP="00644D02">
            <w:pPr>
              <w:rPr>
                <w:sz w:val="13"/>
                <w:szCs w:val="13"/>
                <w:lang w:val="en-US"/>
              </w:rPr>
            </w:pPr>
            <w:r w:rsidRPr="00644D02">
              <w:rPr>
                <w:sz w:val="13"/>
                <w:szCs w:val="13"/>
                <w:lang w:val="en-US"/>
              </w:rPr>
              <w:t>14.50%</w:t>
            </w:r>
          </w:p>
        </w:tc>
      </w:tr>
      <w:tr w:rsidR="00644D02" w14:paraId="4E3072DB" w14:textId="77777777" w:rsidTr="00644D02">
        <w:tc>
          <w:tcPr>
            <w:tcW w:w="647" w:type="dxa"/>
            <w:shd w:val="clear" w:color="auto" w:fill="D9D9D9" w:themeFill="background1" w:themeFillShade="D9"/>
            <w:vAlign w:val="center"/>
          </w:tcPr>
          <w:p w14:paraId="0D54A7A2" w14:textId="0DC10400" w:rsidR="00644D02" w:rsidRPr="00644D02" w:rsidRDefault="00644D02" w:rsidP="00644D02">
            <w:pPr>
              <w:rPr>
                <w:sz w:val="13"/>
                <w:szCs w:val="13"/>
                <w:lang w:val="en-US"/>
              </w:rPr>
            </w:pPr>
            <w:r w:rsidRPr="00644D02">
              <w:rPr>
                <w:sz w:val="13"/>
                <w:szCs w:val="13"/>
                <w:lang w:val="en-US"/>
              </w:rPr>
              <w:t>2020</w:t>
            </w:r>
          </w:p>
        </w:tc>
        <w:tc>
          <w:tcPr>
            <w:tcW w:w="647" w:type="dxa"/>
            <w:vAlign w:val="center"/>
          </w:tcPr>
          <w:p w14:paraId="03AFBD15" w14:textId="40C32800" w:rsidR="00644D02" w:rsidRPr="00644D02" w:rsidRDefault="00644D02" w:rsidP="00644D02">
            <w:pPr>
              <w:rPr>
                <w:sz w:val="13"/>
                <w:szCs w:val="13"/>
                <w:lang w:val="en-US"/>
              </w:rPr>
            </w:pPr>
            <w:r w:rsidRPr="00644D02">
              <w:rPr>
                <w:sz w:val="13"/>
                <w:szCs w:val="13"/>
                <w:lang w:val="en-US"/>
              </w:rPr>
              <w:t>-1.77%</w:t>
            </w:r>
          </w:p>
        </w:tc>
        <w:tc>
          <w:tcPr>
            <w:tcW w:w="647" w:type="dxa"/>
            <w:vAlign w:val="center"/>
          </w:tcPr>
          <w:p w14:paraId="07F59032" w14:textId="19E26417" w:rsidR="00644D02" w:rsidRPr="00644D02" w:rsidRDefault="00644D02" w:rsidP="00644D02">
            <w:pPr>
              <w:rPr>
                <w:sz w:val="13"/>
                <w:szCs w:val="13"/>
                <w:lang w:val="en-US"/>
              </w:rPr>
            </w:pPr>
            <w:r w:rsidRPr="00644D02">
              <w:rPr>
                <w:sz w:val="13"/>
                <w:szCs w:val="13"/>
                <w:lang w:val="en-US"/>
              </w:rPr>
              <w:t>-6.11%</w:t>
            </w:r>
          </w:p>
        </w:tc>
        <w:tc>
          <w:tcPr>
            <w:tcW w:w="647" w:type="dxa"/>
            <w:vAlign w:val="center"/>
          </w:tcPr>
          <w:p w14:paraId="72A97F2A" w14:textId="1D2682E6" w:rsidR="00644D02" w:rsidRPr="00644D02" w:rsidRDefault="00644D02" w:rsidP="00644D02">
            <w:pPr>
              <w:rPr>
                <w:sz w:val="13"/>
                <w:szCs w:val="13"/>
                <w:lang w:val="en-US"/>
              </w:rPr>
            </w:pPr>
            <w:r w:rsidRPr="00644D02">
              <w:rPr>
                <w:sz w:val="13"/>
                <w:szCs w:val="13"/>
                <w:lang w:val="en-US"/>
              </w:rPr>
              <w:t>-11.8%</w:t>
            </w:r>
          </w:p>
        </w:tc>
        <w:tc>
          <w:tcPr>
            <w:tcW w:w="647" w:type="dxa"/>
            <w:vAlign w:val="center"/>
          </w:tcPr>
          <w:p w14:paraId="6B806684" w14:textId="69788266" w:rsidR="00644D02" w:rsidRPr="00644D02" w:rsidRDefault="00644D02" w:rsidP="00644D02">
            <w:pPr>
              <w:rPr>
                <w:sz w:val="13"/>
                <w:szCs w:val="13"/>
                <w:lang w:val="en-US"/>
              </w:rPr>
            </w:pPr>
            <w:r w:rsidRPr="00644D02">
              <w:rPr>
                <w:sz w:val="13"/>
                <w:szCs w:val="13"/>
                <w:lang w:val="en-US"/>
              </w:rPr>
              <w:t>5.32%</w:t>
            </w:r>
          </w:p>
        </w:tc>
        <w:tc>
          <w:tcPr>
            <w:tcW w:w="647" w:type="dxa"/>
            <w:vAlign w:val="center"/>
          </w:tcPr>
          <w:p w14:paraId="37E9C453" w14:textId="4F2F82E2" w:rsidR="00644D02" w:rsidRPr="00644D02" w:rsidRDefault="00644D02" w:rsidP="00644D02">
            <w:pPr>
              <w:rPr>
                <w:sz w:val="13"/>
                <w:szCs w:val="13"/>
                <w:lang w:val="en-US"/>
              </w:rPr>
            </w:pPr>
            <w:r w:rsidRPr="00644D02">
              <w:rPr>
                <w:sz w:val="13"/>
                <w:szCs w:val="13"/>
                <w:lang w:val="en-US"/>
              </w:rPr>
              <w:t>4.81%</w:t>
            </w:r>
          </w:p>
        </w:tc>
        <w:tc>
          <w:tcPr>
            <w:tcW w:w="647" w:type="dxa"/>
            <w:vAlign w:val="center"/>
          </w:tcPr>
          <w:p w14:paraId="1E1D6D0F" w14:textId="6CBCED4B" w:rsidR="00644D02" w:rsidRPr="00644D02" w:rsidRDefault="00644D02" w:rsidP="00644D02">
            <w:pPr>
              <w:rPr>
                <w:sz w:val="13"/>
                <w:szCs w:val="13"/>
                <w:lang w:val="en-US"/>
              </w:rPr>
            </w:pPr>
            <w:r w:rsidRPr="00644D02">
              <w:rPr>
                <w:sz w:val="13"/>
                <w:szCs w:val="13"/>
                <w:lang w:val="en-US"/>
              </w:rPr>
              <w:t>3.31%</w:t>
            </w:r>
          </w:p>
        </w:tc>
        <w:tc>
          <w:tcPr>
            <w:tcW w:w="647" w:type="dxa"/>
            <w:vAlign w:val="center"/>
          </w:tcPr>
          <w:p w14:paraId="69EDA82C" w14:textId="26E8443E" w:rsidR="00644D02" w:rsidRPr="00644D02" w:rsidRDefault="00644D02" w:rsidP="00644D02">
            <w:pPr>
              <w:rPr>
                <w:sz w:val="13"/>
                <w:szCs w:val="13"/>
                <w:lang w:val="en-US"/>
              </w:rPr>
            </w:pPr>
            <w:r w:rsidRPr="00644D02">
              <w:rPr>
                <w:sz w:val="13"/>
                <w:szCs w:val="13"/>
                <w:lang w:val="en-US"/>
              </w:rPr>
              <w:t>-1.47%</w:t>
            </w:r>
          </w:p>
        </w:tc>
        <w:tc>
          <w:tcPr>
            <w:tcW w:w="647" w:type="dxa"/>
            <w:vAlign w:val="center"/>
          </w:tcPr>
          <w:p w14:paraId="5D598403" w14:textId="378ECAE0" w:rsidR="00644D02" w:rsidRPr="00644D02" w:rsidRDefault="00644D02" w:rsidP="00644D02">
            <w:pPr>
              <w:rPr>
                <w:sz w:val="13"/>
                <w:szCs w:val="13"/>
                <w:lang w:val="en-US"/>
              </w:rPr>
            </w:pPr>
            <w:r w:rsidRPr="00644D02">
              <w:rPr>
                <w:sz w:val="13"/>
                <w:szCs w:val="13"/>
                <w:lang w:val="en-US"/>
              </w:rPr>
              <w:t>3.28%</w:t>
            </w:r>
          </w:p>
        </w:tc>
        <w:tc>
          <w:tcPr>
            <w:tcW w:w="647" w:type="dxa"/>
            <w:vAlign w:val="center"/>
          </w:tcPr>
          <w:p w14:paraId="4E2A53BC" w14:textId="7C09D0BB" w:rsidR="00644D02" w:rsidRPr="00644D02" w:rsidRDefault="00644D02" w:rsidP="00644D02">
            <w:pPr>
              <w:rPr>
                <w:sz w:val="13"/>
                <w:szCs w:val="13"/>
                <w:lang w:val="en-US"/>
              </w:rPr>
            </w:pPr>
            <w:r w:rsidRPr="00644D02">
              <w:rPr>
                <w:sz w:val="13"/>
                <w:szCs w:val="13"/>
                <w:lang w:val="en-US"/>
              </w:rPr>
              <w:t>-1.53%</w:t>
            </w:r>
          </w:p>
        </w:tc>
        <w:tc>
          <w:tcPr>
            <w:tcW w:w="648" w:type="dxa"/>
            <w:vAlign w:val="center"/>
          </w:tcPr>
          <w:p w14:paraId="48DB3BAC" w14:textId="1F99A294" w:rsidR="00644D02" w:rsidRPr="00644D02" w:rsidRDefault="00644D02" w:rsidP="00644D02">
            <w:pPr>
              <w:rPr>
                <w:sz w:val="13"/>
                <w:szCs w:val="13"/>
                <w:lang w:val="en-US"/>
              </w:rPr>
            </w:pPr>
            <w:r w:rsidRPr="00644D02">
              <w:rPr>
                <w:sz w:val="13"/>
                <w:szCs w:val="13"/>
                <w:lang w:val="en-US"/>
              </w:rPr>
              <w:t>-5.46%</w:t>
            </w:r>
          </w:p>
        </w:tc>
        <w:tc>
          <w:tcPr>
            <w:tcW w:w="648" w:type="dxa"/>
            <w:vAlign w:val="center"/>
          </w:tcPr>
          <w:p w14:paraId="1D8D104D" w14:textId="63FEB8FE" w:rsidR="00644D02" w:rsidRPr="00644D02" w:rsidRDefault="00644D02" w:rsidP="00644D02">
            <w:pPr>
              <w:rPr>
                <w:sz w:val="13"/>
                <w:szCs w:val="13"/>
                <w:lang w:val="en-US"/>
              </w:rPr>
            </w:pPr>
            <w:r w:rsidRPr="00644D02">
              <w:rPr>
                <w:sz w:val="13"/>
                <w:szCs w:val="13"/>
                <w:lang w:val="en-US"/>
              </w:rPr>
              <w:t>15.6%</w:t>
            </w:r>
          </w:p>
        </w:tc>
        <w:tc>
          <w:tcPr>
            <w:tcW w:w="648" w:type="dxa"/>
            <w:vAlign w:val="center"/>
          </w:tcPr>
          <w:p w14:paraId="47B71325" w14:textId="3E0BCF13" w:rsidR="00644D02" w:rsidRPr="00644D02" w:rsidRDefault="00644D02" w:rsidP="00644D02">
            <w:pPr>
              <w:rPr>
                <w:sz w:val="13"/>
                <w:szCs w:val="13"/>
                <w:lang w:val="en-US"/>
              </w:rPr>
            </w:pPr>
            <w:r w:rsidRPr="00644D02">
              <w:rPr>
                <w:sz w:val="13"/>
                <w:szCs w:val="13"/>
                <w:lang w:val="en-US"/>
              </w:rPr>
              <w:t>2.59%</w:t>
            </w:r>
          </w:p>
        </w:tc>
        <w:tc>
          <w:tcPr>
            <w:tcW w:w="648" w:type="dxa"/>
            <w:vAlign w:val="center"/>
          </w:tcPr>
          <w:p w14:paraId="55663C9F" w14:textId="6613EDD5" w:rsidR="00644D02" w:rsidRPr="00644D02" w:rsidRDefault="00644D02" w:rsidP="00644D02">
            <w:pPr>
              <w:rPr>
                <w:sz w:val="13"/>
                <w:szCs w:val="13"/>
                <w:lang w:val="en-US"/>
              </w:rPr>
            </w:pPr>
            <w:r w:rsidRPr="00644D02">
              <w:rPr>
                <w:sz w:val="13"/>
                <w:szCs w:val="13"/>
                <w:lang w:val="en-US"/>
              </w:rPr>
              <w:t>4.21%</w:t>
            </w:r>
          </w:p>
        </w:tc>
      </w:tr>
      <w:tr w:rsidR="00644D02" w14:paraId="7B5F5988" w14:textId="77777777" w:rsidTr="00644D02">
        <w:tc>
          <w:tcPr>
            <w:tcW w:w="647" w:type="dxa"/>
            <w:shd w:val="clear" w:color="auto" w:fill="D9D9D9" w:themeFill="background1" w:themeFillShade="D9"/>
            <w:vAlign w:val="center"/>
          </w:tcPr>
          <w:p w14:paraId="33B32642" w14:textId="2597EDBB" w:rsidR="00644D02" w:rsidRPr="00644D02" w:rsidRDefault="00644D02" w:rsidP="00644D02">
            <w:pPr>
              <w:rPr>
                <w:sz w:val="13"/>
                <w:szCs w:val="13"/>
                <w:lang w:val="en-US"/>
              </w:rPr>
            </w:pPr>
            <w:r w:rsidRPr="00644D02">
              <w:rPr>
                <w:sz w:val="13"/>
                <w:szCs w:val="13"/>
                <w:lang w:val="en-US"/>
              </w:rPr>
              <w:t>2021</w:t>
            </w:r>
          </w:p>
        </w:tc>
        <w:tc>
          <w:tcPr>
            <w:tcW w:w="647" w:type="dxa"/>
            <w:vAlign w:val="center"/>
          </w:tcPr>
          <w:p w14:paraId="7ACF7EA0" w14:textId="5087E13F" w:rsidR="00644D02" w:rsidRPr="00644D02" w:rsidRDefault="00644D02" w:rsidP="00644D02">
            <w:pPr>
              <w:rPr>
                <w:sz w:val="13"/>
                <w:szCs w:val="13"/>
                <w:lang w:val="en-US"/>
              </w:rPr>
            </w:pPr>
            <w:r w:rsidRPr="00644D02">
              <w:rPr>
                <w:sz w:val="13"/>
                <w:szCs w:val="13"/>
                <w:lang w:val="en-US"/>
              </w:rPr>
              <w:t>-1.88%</w:t>
            </w:r>
          </w:p>
        </w:tc>
        <w:tc>
          <w:tcPr>
            <w:tcW w:w="647" w:type="dxa"/>
            <w:vAlign w:val="center"/>
          </w:tcPr>
          <w:p w14:paraId="0539B95D" w14:textId="07D8FE37" w:rsidR="00644D02" w:rsidRPr="00644D02" w:rsidRDefault="00644D02" w:rsidP="00644D02">
            <w:pPr>
              <w:rPr>
                <w:sz w:val="13"/>
                <w:szCs w:val="13"/>
                <w:lang w:val="en-US"/>
              </w:rPr>
            </w:pPr>
            <w:r w:rsidRPr="00644D02">
              <w:rPr>
                <w:sz w:val="13"/>
                <w:szCs w:val="13"/>
                <w:lang w:val="en-US"/>
              </w:rPr>
              <w:t>3.40%</w:t>
            </w:r>
          </w:p>
        </w:tc>
        <w:tc>
          <w:tcPr>
            <w:tcW w:w="647" w:type="dxa"/>
            <w:vAlign w:val="center"/>
          </w:tcPr>
          <w:p w14:paraId="1288D45E" w14:textId="2A9D2CAB" w:rsidR="00644D02" w:rsidRPr="00644D02" w:rsidRDefault="00644D02" w:rsidP="00644D02">
            <w:pPr>
              <w:rPr>
                <w:sz w:val="13"/>
                <w:szCs w:val="13"/>
                <w:lang w:val="en-US"/>
              </w:rPr>
            </w:pPr>
            <w:r w:rsidRPr="00644D02">
              <w:rPr>
                <w:sz w:val="13"/>
                <w:szCs w:val="13"/>
                <w:lang w:val="en-US"/>
              </w:rPr>
              <w:t xml:space="preserve"> 5.93%</w:t>
            </w:r>
          </w:p>
        </w:tc>
        <w:tc>
          <w:tcPr>
            <w:tcW w:w="647" w:type="dxa"/>
            <w:vAlign w:val="center"/>
          </w:tcPr>
          <w:p w14:paraId="2647DABD" w14:textId="6AC767CC" w:rsidR="00644D02" w:rsidRPr="00644D02" w:rsidRDefault="00644D02" w:rsidP="00644D02">
            <w:pPr>
              <w:rPr>
                <w:sz w:val="13"/>
                <w:szCs w:val="13"/>
                <w:lang w:val="en-US"/>
              </w:rPr>
            </w:pPr>
            <w:r w:rsidRPr="00644D02">
              <w:rPr>
                <w:sz w:val="13"/>
                <w:szCs w:val="13"/>
                <w:lang w:val="en-US"/>
              </w:rPr>
              <w:t>2.31%</w:t>
            </w:r>
          </w:p>
        </w:tc>
        <w:tc>
          <w:tcPr>
            <w:tcW w:w="647" w:type="dxa"/>
            <w:vAlign w:val="center"/>
          </w:tcPr>
          <w:p w14:paraId="2D9F4E2B" w14:textId="7EE5E87A" w:rsidR="00644D02" w:rsidRPr="00644D02" w:rsidRDefault="00644D02" w:rsidP="00644D02">
            <w:pPr>
              <w:rPr>
                <w:sz w:val="13"/>
                <w:szCs w:val="13"/>
                <w:lang w:val="en-US"/>
              </w:rPr>
            </w:pPr>
            <w:r w:rsidRPr="00644D02">
              <w:rPr>
                <w:sz w:val="13"/>
                <w:szCs w:val="13"/>
                <w:lang w:val="en-US"/>
              </w:rPr>
              <w:t>1.94%</w:t>
            </w:r>
          </w:p>
        </w:tc>
        <w:tc>
          <w:tcPr>
            <w:tcW w:w="647" w:type="dxa"/>
            <w:vAlign w:val="center"/>
          </w:tcPr>
          <w:p w14:paraId="5386825D" w14:textId="55149BC3" w:rsidR="00644D02" w:rsidRPr="00644D02" w:rsidRDefault="00644D02" w:rsidP="00644D02">
            <w:pPr>
              <w:rPr>
                <w:sz w:val="13"/>
                <w:szCs w:val="13"/>
                <w:lang w:val="en-US"/>
              </w:rPr>
            </w:pPr>
            <w:r w:rsidRPr="00644D02">
              <w:rPr>
                <w:sz w:val="13"/>
                <w:szCs w:val="13"/>
                <w:lang w:val="en-US"/>
              </w:rPr>
              <w:t>0.90%</w:t>
            </w:r>
          </w:p>
        </w:tc>
        <w:tc>
          <w:tcPr>
            <w:tcW w:w="647" w:type="dxa"/>
            <w:vAlign w:val="center"/>
          </w:tcPr>
          <w:p w14:paraId="6A441335" w14:textId="12A86308" w:rsidR="00644D02" w:rsidRPr="00644D02" w:rsidRDefault="00644D02" w:rsidP="00644D02">
            <w:pPr>
              <w:rPr>
                <w:sz w:val="13"/>
                <w:szCs w:val="13"/>
                <w:lang w:val="en-US"/>
              </w:rPr>
            </w:pPr>
            <w:r w:rsidRPr="00644D02">
              <w:rPr>
                <w:sz w:val="13"/>
                <w:szCs w:val="13"/>
                <w:lang w:val="en-US"/>
              </w:rPr>
              <w:t>0.55%</w:t>
            </w:r>
          </w:p>
        </w:tc>
        <w:tc>
          <w:tcPr>
            <w:tcW w:w="647" w:type="dxa"/>
            <w:vAlign w:val="center"/>
          </w:tcPr>
          <w:p w14:paraId="50A1C7E5" w14:textId="60EBDF8E" w:rsidR="00644D02" w:rsidRPr="00644D02" w:rsidRDefault="00644D02" w:rsidP="00644D02">
            <w:pPr>
              <w:rPr>
                <w:sz w:val="13"/>
                <w:szCs w:val="13"/>
                <w:lang w:val="en-US"/>
              </w:rPr>
            </w:pPr>
            <w:r w:rsidRPr="00644D02">
              <w:rPr>
                <w:sz w:val="13"/>
                <w:szCs w:val="13"/>
                <w:lang w:val="en-US"/>
              </w:rPr>
              <w:t>1.71%</w:t>
            </w:r>
          </w:p>
        </w:tc>
        <w:tc>
          <w:tcPr>
            <w:tcW w:w="647" w:type="dxa"/>
            <w:vAlign w:val="center"/>
          </w:tcPr>
          <w:p w14:paraId="697E8EC1" w14:textId="53EC2686" w:rsidR="00644D02" w:rsidRPr="00644D02" w:rsidRDefault="00644D02" w:rsidP="00644D02">
            <w:pPr>
              <w:rPr>
                <w:sz w:val="13"/>
                <w:szCs w:val="13"/>
                <w:lang w:val="en-US"/>
              </w:rPr>
            </w:pPr>
            <w:r w:rsidRPr="00644D02">
              <w:rPr>
                <w:sz w:val="13"/>
                <w:szCs w:val="13"/>
                <w:lang w:val="en-US"/>
              </w:rPr>
              <w:t>-4.15%</w:t>
            </w:r>
          </w:p>
        </w:tc>
        <w:tc>
          <w:tcPr>
            <w:tcW w:w="648" w:type="dxa"/>
            <w:vAlign w:val="center"/>
          </w:tcPr>
          <w:p w14:paraId="373777E7" w14:textId="258EB7A6" w:rsidR="00644D02" w:rsidRPr="00644D02" w:rsidRDefault="00644D02" w:rsidP="00644D02">
            <w:pPr>
              <w:rPr>
                <w:sz w:val="13"/>
                <w:szCs w:val="13"/>
                <w:lang w:val="en-US"/>
              </w:rPr>
            </w:pPr>
            <w:r w:rsidRPr="00644D02">
              <w:rPr>
                <w:sz w:val="13"/>
                <w:szCs w:val="13"/>
                <w:lang w:val="en-US"/>
              </w:rPr>
              <w:t>4.10%</w:t>
            </w:r>
          </w:p>
        </w:tc>
        <w:tc>
          <w:tcPr>
            <w:tcW w:w="648" w:type="dxa"/>
            <w:vAlign w:val="center"/>
          </w:tcPr>
          <w:p w14:paraId="65FFA112" w14:textId="6F283464" w:rsidR="00644D02" w:rsidRPr="00644D02" w:rsidRDefault="00644D02" w:rsidP="00644D02">
            <w:pPr>
              <w:rPr>
                <w:sz w:val="13"/>
                <w:szCs w:val="13"/>
                <w:lang w:val="en-US"/>
              </w:rPr>
            </w:pPr>
            <w:r w:rsidRPr="00644D02">
              <w:rPr>
                <w:sz w:val="13"/>
                <w:szCs w:val="13"/>
                <w:lang w:val="en-US"/>
              </w:rPr>
              <w:t>-2.30%</w:t>
            </w:r>
          </w:p>
        </w:tc>
        <w:tc>
          <w:tcPr>
            <w:tcW w:w="648" w:type="dxa"/>
            <w:vAlign w:val="center"/>
          </w:tcPr>
          <w:p w14:paraId="1AD32CAC" w14:textId="746EDF67" w:rsidR="00644D02" w:rsidRPr="00644D02" w:rsidRDefault="00644D02" w:rsidP="00644D02">
            <w:pPr>
              <w:rPr>
                <w:sz w:val="13"/>
                <w:szCs w:val="13"/>
                <w:lang w:val="en-US"/>
              </w:rPr>
            </w:pPr>
            <w:r w:rsidRPr="00644D02">
              <w:rPr>
                <w:sz w:val="13"/>
                <w:szCs w:val="13"/>
                <w:lang w:val="en-US"/>
              </w:rPr>
              <w:t>3.81%</w:t>
            </w:r>
          </w:p>
        </w:tc>
        <w:tc>
          <w:tcPr>
            <w:tcW w:w="648" w:type="dxa"/>
            <w:vAlign w:val="center"/>
          </w:tcPr>
          <w:p w14:paraId="32658300" w14:textId="5C7D7504" w:rsidR="00644D02" w:rsidRPr="00644D02" w:rsidRDefault="00644D02" w:rsidP="00644D02">
            <w:pPr>
              <w:rPr>
                <w:sz w:val="13"/>
                <w:szCs w:val="13"/>
                <w:lang w:val="en-US"/>
              </w:rPr>
            </w:pPr>
            <w:r w:rsidRPr="00644D02">
              <w:rPr>
                <w:sz w:val="13"/>
                <w:szCs w:val="13"/>
                <w:lang w:val="en-US"/>
              </w:rPr>
              <w:t>16.63%</w:t>
            </w:r>
          </w:p>
        </w:tc>
      </w:tr>
      <w:tr w:rsidR="00644D02" w14:paraId="34E3BB57" w14:textId="77777777" w:rsidTr="00644D02">
        <w:tc>
          <w:tcPr>
            <w:tcW w:w="647" w:type="dxa"/>
            <w:shd w:val="clear" w:color="auto" w:fill="D9D9D9" w:themeFill="background1" w:themeFillShade="D9"/>
            <w:vAlign w:val="center"/>
          </w:tcPr>
          <w:p w14:paraId="13FAC200" w14:textId="53FF0B5F" w:rsidR="00644D02" w:rsidRPr="00644D02" w:rsidRDefault="00644D02" w:rsidP="00644D02">
            <w:pPr>
              <w:rPr>
                <w:sz w:val="13"/>
                <w:szCs w:val="13"/>
                <w:lang w:val="en-US"/>
              </w:rPr>
            </w:pPr>
            <w:r w:rsidRPr="00644D02">
              <w:rPr>
                <w:sz w:val="13"/>
                <w:szCs w:val="13"/>
                <w:lang w:val="en-US"/>
              </w:rPr>
              <w:t>2022</w:t>
            </w:r>
          </w:p>
        </w:tc>
        <w:tc>
          <w:tcPr>
            <w:tcW w:w="647" w:type="dxa"/>
            <w:vAlign w:val="center"/>
          </w:tcPr>
          <w:p w14:paraId="15F13CC4" w14:textId="7A640B15" w:rsidR="00644D02" w:rsidRPr="00644D02" w:rsidRDefault="00644D02" w:rsidP="00644D02">
            <w:pPr>
              <w:rPr>
                <w:sz w:val="13"/>
                <w:szCs w:val="13"/>
                <w:lang w:val="en-US"/>
              </w:rPr>
            </w:pPr>
            <w:r w:rsidRPr="00644D02">
              <w:rPr>
                <w:sz w:val="13"/>
                <w:szCs w:val="13"/>
                <w:lang w:val="en-US"/>
              </w:rPr>
              <w:t>-3.45%</w:t>
            </w:r>
          </w:p>
        </w:tc>
        <w:tc>
          <w:tcPr>
            <w:tcW w:w="647" w:type="dxa"/>
            <w:vAlign w:val="center"/>
          </w:tcPr>
          <w:p w14:paraId="62B4D89C" w14:textId="6B0A2115" w:rsidR="00644D02" w:rsidRPr="00644D02" w:rsidRDefault="00644D02" w:rsidP="00644D02">
            <w:pPr>
              <w:rPr>
                <w:sz w:val="13"/>
                <w:szCs w:val="13"/>
                <w:lang w:val="en-US"/>
              </w:rPr>
            </w:pPr>
            <w:r w:rsidRPr="00644D02">
              <w:rPr>
                <w:sz w:val="13"/>
                <w:szCs w:val="13"/>
                <w:lang w:val="en-US"/>
              </w:rPr>
              <w:t>-4.87%</w:t>
            </w:r>
          </w:p>
        </w:tc>
        <w:tc>
          <w:tcPr>
            <w:tcW w:w="647" w:type="dxa"/>
            <w:vAlign w:val="center"/>
          </w:tcPr>
          <w:p w14:paraId="4EE6B55C" w14:textId="7EA41797" w:rsidR="00644D02" w:rsidRPr="00644D02" w:rsidRDefault="00644D02" w:rsidP="00644D02">
            <w:pPr>
              <w:rPr>
                <w:sz w:val="13"/>
                <w:szCs w:val="13"/>
                <w:lang w:val="en-US"/>
              </w:rPr>
            </w:pPr>
            <w:r w:rsidRPr="00644D02">
              <w:rPr>
                <w:sz w:val="13"/>
                <w:szCs w:val="13"/>
                <w:lang w:val="en-US"/>
              </w:rPr>
              <w:t>0.16%</w:t>
            </w:r>
          </w:p>
        </w:tc>
        <w:tc>
          <w:tcPr>
            <w:tcW w:w="647" w:type="dxa"/>
            <w:vAlign w:val="center"/>
          </w:tcPr>
          <w:p w14:paraId="03C8585A" w14:textId="7829EA85" w:rsidR="00644D02" w:rsidRPr="00644D02" w:rsidRDefault="00644D02" w:rsidP="00644D02">
            <w:pPr>
              <w:rPr>
                <w:sz w:val="13"/>
                <w:szCs w:val="13"/>
                <w:lang w:val="en-US"/>
              </w:rPr>
            </w:pPr>
            <w:r w:rsidRPr="00644D02">
              <w:rPr>
                <w:sz w:val="13"/>
                <w:szCs w:val="13"/>
                <w:lang w:val="en-US"/>
              </w:rPr>
              <w:t>-1.97%</w:t>
            </w:r>
          </w:p>
        </w:tc>
        <w:tc>
          <w:tcPr>
            <w:tcW w:w="647" w:type="dxa"/>
            <w:vAlign w:val="center"/>
          </w:tcPr>
          <w:p w14:paraId="37F22493" w14:textId="7B16FB74" w:rsidR="00644D02" w:rsidRPr="00644D02" w:rsidRDefault="00644D02" w:rsidP="00644D02">
            <w:pPr>
              <w:rPr>
                <w:sz w:val="13"/>
                <w:szCs w:val="13"/>
                <w:lang w:val="en-US"/>
              </w:rPr>
            </w:pPr>
            <w:r w:rsidRPr="00644D02">
              <w:rPr>
                <w:sz w:val="13"/>
                <w:szCs w:val="13"/>
                <w:lang w:val="en-US"/>
              </w:rPr>
              <w:t>0.22%</w:t>
            </w:r>
          </w:p>
        </w:tc>
        <w:tc>
          <w:tcPr>
            <w:tcW w:w="647" w:type="dxa"/>
            <w:vAlign w:val="center"/>
          </w:tcPr>
          <w:p w14:paraId="5F71F7DD" w14:textId="3BB99D2F" w:rsidR="00644D02" w:rsidRPr="00644D02" w:rsidRDefault="00644D02" w:rsidP="00644D02">
            <w:pPr>
              <w:rPr>
                <w:sz w:val="13"/>
                <w:szCs w:val="13"/>
                <w:lang w:val="en-US"/>
              </w:rPr>
            </w:pPr>
            <w:r w:rsidRPr="00644D02">
              <w:rPr>
                <w:sz w:val="13"/>
                <w:szCs w:val="13"/>
                <w:lang w:val="en-US"/>
              </w:rPr>
              <w:t>-7.80%</w:t>
            </w:r>
          </w:p>
        </w:tc>
        <w:tc>
          <w:tcPr>
            <w:tcW w:w="647" w:type="dxa"/>
            <w:vAlign w:val="center"/>
          </w:tcPr>
          <w:p w14:paraId="323EB8AC" w14:textId="5ACFDA48" w:rsidR="00644D02" w:rsidRPr="00644D02" w:rsidRDefault="00644D02" w:rsidP="00644D02">
            <w:pPr>
              <w:rPr>
                <w:sz w:val="13"/>
                <w:szCs w:val="13"/>
                <w:lang w:val="en-US"/>
              </w:rPr>
            </w:pPr>
            <w:r w:rsidRPr="00644D02">
              <w:rPr>
                <w:sz w:val="13"/>
                <w:szCs w:val="13"/>
                <w:lang w:val="en-US"/>
              </w:rPr>
              <w:t>5.52%</w:t>
            </w:r>
          </w:p>
        </w:tc>
        <w:tc>
          <w:tcPr>
            <w:tcW w:w="647" w:type="dxa"/>
            <w:vAlign w:val="center"/>
          </w:tcPr>
          <w:p w14:paraId="2B3F5ABA" w14:textId="72F5DD8F" w:rsidR="00644D02" w:rsidRPr="00644D02" w:rsidRDefault="00644D02" w:rsidP="00644D02">
            <w:pPr>
              <w:rPr>
                <w:sz w:val="13"/>
                <w:szCs w:val="13"/>
                <w:lang w:val="en-US"/>
              </w:rPr>
            </w:pPr>
            <w:r w:rsidRPr="00644D02">
              <w:rPr>
                <w:sz w:val="13"/>
                <w:szCs w:val="13"/>
                <w:lang w:val="en-US"/>
              </w:rPr>
              <w:t>-4.50%</w:t>
            </w:r>
          </w:p>
        </w:tc>
        <w:tc>
          <w:tcPr>
            <w:tcW w:w="647" w:type="dxa"/>
            <w:vAlign w:val="center"/>
          </w:tcPr>
          <w:p w14:paraId="38886CE9" w14:textId="5D41BC3F" w:rsidR="00644D02" w:rsidRPr="00644D02" w:rsidRDefault="00644D02" w:rsidP="00644D02">
            <w:pPr>
              <w:rPr>
                <w:sz w:val="13"/>
                <w:szCs w:val="13"/>
                <w:lang w:val="en-US"/>
              </w:rPr>
            </w:pPr>
            <w:r w:rsidRPr="00644D02">
              <w:rPr>
                <w:sz w:val="13"/>
                <w:szCs w:val="13"/>
                <w:lang w:val="en-US"/>
              </w:rPr>
              <w:t>-5.48%</w:t>
            </w:r>
          </w:p>
        </w:tc>
        <w:tc>
          <w:tcPr>
            <w:tcW w:w="648" w:type="dxa"/>
            <w:vAlign w:val="center"/>
          </w:tcPr>
          <w:p w14:paraId="64C6EA3A" w14:textId="3DDF9C1F" w:rsidR="00644D02" w:rsidRPr="00644D02" w:rsidRDefault="00644D02" w:rsidP="00644D02">
            <w:pPr>
              <w:rPr>
                <w:sz w:val="13"/>
                <w:szCs w:val="13"/>
                <w:lang w:val="en-US"/>
              </w:rPr>
            </w:pPr>
            <w:r w:rsidRPr="00644D02">
              <w:rPr>
                <w:sz w:val="13"/>
                <w:szCs w:val="13"/>
                <w:lang w:val="en-US"/>
              </w:rPr>
              <w:t>6.15%</w:t>
            </w:r>
          </w:p>
        </w:tc>
        <w:tc>
          <w:tcPr>
            <w:tcW w:w="648" w:type="dxa"/>
            <w:vAlign w:val="center"/>
          </w:tcPr>
          <w:p w14:paraId="3E14AD21" w14:textId="467525EE" w:rsidR="00644D02" w:rsidRPr="00644D02" w:rsidRDefault="00644D02" w:rsidP="00644D02">
            <w:pPr>
              <w:rPr>
                <w:sz w:val="13"/>
                <w:szCs w:val="13"/>
                <w:lang w:val="en-US"/>
              </w:rPr>
            </w:pPr>
            <w:r w:rsidRPr="00644D02">
              <w:rPr>
                <w:sz w:val="13"/>
                <w:szCs w:val="13"/>
                <w:lang w:val="en-US"/>
              </w:rPr>
              <w:t>7.29%</w:t>
            </w:r>
          </w:p>
        </w:tc>
        <w:tc>
          <w:tcPr>
            <w:tcW w:w="648" w:type="dxa"/>
            <w:vAlign w:val="center"/>
          </w:tcPr>
          <w:p w14:paraId="3A42A0B5" w14:textId="173CFF0B" w:rsidR="00644D02" w:rsidRPr="00644D02" w:rsidRDefault="00644D02" w:rsidP="00644D02">
            <w:pPr>
              <w:rPr>
                <w:sz w:val="13"/>
                <w:szCs w:val="13"/>
                <w:lang w:val="en-US"/>
              </w:rPr>
            </w:pPr>
            <w:r w:rsidRPr="00644D02">
              <w:rPr>
                <w:sz w:val="13"/>
                <w:szCs w:val="13"/>
                <w:lang w:val="en-US"/>
              </w:rPr>
              <w:t>-1.97%</w:t>
            </w:r>
          </w:p>
        </w:tc>
        <w:tc>
          <w:tcPr>
            <w:tcW w:w="648" w:type="dxa"/>
            <w:vAlign w:val="center"/>
          </w:tcPr>
          <w:p w14:paraId="291C11CD" w14:textId="1A110BD6" w:rsidR="00644D02" w:rsidRPr="00644D02" w:rsidRDefault="00644D02" w:rsidP="00644D02">
            <w:pPr>
              <w:rPr>
                <w:sz w:val="13"/>
                <w:szCs w:val="13"/>
                <w:lang w:val="en-US"/>
              </w:rPr>
            </w:pPr>
            <w:r w:rsidRPr="00644D02">
              <w:rPr>
                <w:sz w:val="13"/>
                <w:szCs w:val="13"/>
                <w:lang w:val="en-US"/>
              </w:rPr>
              <w:t>-11.38%</w:t>
            </w:r>
          </w:p>
        </w:tc>
      </w:tr>
      <w:tr w:rsidR="00644D02" w14:paraId="4B1B883B" w14:textId="77777777" w:rsidTr="00644D02">
        <w:tc>
          <w:tcPr>
            <w:tcW w:w="647" w:type="dxa"/>
            <w:shd w:val="clear" w:color="auto" w:fill="D9D9D9" w:themeFill="background1" w:themeFillShade="D9"/>
            <w:vAlign w:val="center"/>
          </w:tcPr>
          <w:p w14:paraId="1F96D897" w14:textId="1AFFC51F" w:rsidR="00644D02" w:rsidRPr="00644D02" w:rsidRDefault="00644D02" w:rsidP="00644D02">
            <w:pPr>
              <w:rPr>
                <w:sz w:val="13"/>
                <w:szCs w:val="13"/>
                <w:lang w:val="en-US"/>
              </w:rPr>
            </w:pPr>
            <w:r w:rsidRPr="00644D02">
              <w:rPr>
                <w:sz w:val="13"/>
                <w:szCs w:val="13"/>
                <w:lang w:val="en-US"/>
              </w:rPr>
              <w:t>2023</w:t>
            </w:r>
          </w:p>
        </w:tc>
        <w:tc>
          <w:tcPr>
            <w:tcW w:w="647" w:type="dxa"/>
            <w:vAlign w:val="center"/>
          </w:tcPr>
          <w:p w14:paraId="78FFE67A" w14:textId="6139E876" w:rsidR="00644D02" w:rsidRPr="00644D02" w:rsidRDefault="00644D02" w:rsidP="00644D02">
            <w:pPr>
              <w:rPr>
                <w:sz w:val="13"/>
                <w:szCs w:val="13"/>
                <w:lang w:val="en-US"/>
              </w:rPr>
            </w:pPr>
            <w:r w:rsidRPr="00644D02">
              <w:rPr>
                <w:sz w:val="13"/>
                <w:szCs w:val="13"/>
                <w:lang w:val="en-US"/>
              </w:rPr>
              <w:t>6.27%</w:t>
            </w:r>
          </w:p>
        </w:tc>
        <w:tc>
          <w:tcPr>
            <w:tcW w:w="647" w:type="dxa"/>
            <w:vAlign w:val="center"/>
          </w:tcPr>
          <w:p w14:paraId="0C39DD6B" w14:textId="0597EB89" w:rsidR="00644D02" w:rsidRPr="00644D02" w:rsidRDefault="00644D02" w:rsidP="00644D02">
            <w:pPr>
              <w:rPr>
                <w:sz w:val="13"/>
                <w:szCs w:val="13"/>
                <w:lang w:val="en-US"/>
              </w:rPr>
            </w:pPr>
            <w:r w:rsidRPr="00644D02">
              <w:rPr>
                <w:sz w:val="13"/>
                <w:szCs w:val="13"/>
                <w:lang w:val="en-US"/>
              </w:rPr>
              <w:t>1.25%</w:t>
            </w:r>
          </w:p>
        </w:tc>
        <w:tc>
          <w:tcPr>
            <w:tcW w:w="647" w:type="dxa"/>
            <w:vAlign w:val="center"/>
          </w:tcPr>
          <w:p w14:paraId="22F01888" w14:textId="30339321" w:rsidR="00644D02" w:rsidRPr="00644D02" w:rsidRDefault="00644D02" w:rsidP="00644D02">
            <w:pPr>
              <w:rPr>
                <w:sz w:val="13"/>
                <w:szCs w:val="13"/>
                <w:lang w:val="en-US"/>
              </w:rPr>
            </w:pPr>
            <w:r w:rsidRPr="00644D02">
              <w:rPr>
                <w:sz w:val="13"/>
                <w:szCs w:val="13"/>
                <w:lang w:val="en-US"/>
              </w:rPr>
              <w:t>-0.16%</w:t>
            </w:r>
          </w:p>
        </w:tc>
        <w:tc>
          <w:tcPr>
            <w:tcW w:w="647" w:type="dxa"/>
            <w:vAlign w:val="center"/>
          </w:tcPr>
          <w:p w14:paraId="6FE9D7E5" w14:textId="45A020D8" w:rsidR="00644D02" w:rsidRPr="00644D02" w:rsidRDefault="00644D02" w:rsidP="00644D02">
            <w:pPr>
              <w:rPr>
                <w:sz w:val="13"/>
                <w:szCs w:val="13"/>
                <w:lang w:val="en-US"/>
              </w:rPr>
            </w:pPr>
            <w:r w:rsidRPr="00644D02">
              <w:rPr>
                <w:sz w:val="13"/>
                <w:szCs w:val="13"/>
                <w:lang w:val="en-US"/>
              </w:rPr>
              <w:t>1.59%</w:t>
            </w:r>
          </w:p>
        </w:tc>
        <w:tc>
          <w:tcPr>
            <w:tcW w:w="647" w:type="dxa"/>
            <w:vAlign w:val="center"/>
          </w:tcPr>
          <w:p w14:paraId="790C58C2" w14:textId="2B18DFBA" w:rsidR="00644D02" w:rsidRPr="00644D02" w:rsidRDefault="00644D02" w:rsidP="00644D02">
            <w:pPr>
              <w:rPr>
                <w:sz w:val="13"/>
                <w:szCs w:val="13"/>
                <w:lang w:val="en-US"/>
              </w:rPr>
            </w:pPr>
            <w:r w:rsidRPr="00644D02">
              <w:rPr>
                <w:sz w:val="13"/>
                <w:szCs w:val="13"/>
                <w:lang w:val="en-US"/>
              </w:rPr>
              <w:t>-2.96%</w:t>
            </w:r>
          </w:p>
        </w:tc>
        <w:tc>
          <w:tcPr>
            <w:tcW w:w="647" w:type="dxa"/>
            <w:vAlign w:val="center"/>
          </w:tcPr>
          <w:p w14:paraId="69B61252" w14:textId="744BB391" w:rsidR="00644D02" w:rsidRPr="00644D02" w:rsidRDefault="00644D02" w:rsidP="00644D02">
            <w:pPr>
              <w:rPr>
                <w:sz w:val="13"/>
                <w:szCs w:val="13"/>
                <w:lang w:val="en-US"/>
              </w:rPr>
            </w:pPr>
            <w:r w:rsidRPr="00644D02">
              <w:rPr>
                <w:sz w:val="13"/>
                <w:szCs w:val="13"/>
                <w:lang w:val="en-US"/>
              </w:rPr>
              <w:t>3.13%</w:t>
            </w:r>
          </w:p>
        </w:tc>
        <w:tc>
          <w:tcPr>
            <w:tcW w:w="647" w:type="dxa"/>
            <w:vAlign w:val="center"/>
          </w:tcPr>
          <w:p w14:paraId="08E9B9C5" w14:textId="1734A914" w:rsidR="00644D02" w:rsidRPr="00644D02" w:rsidRDefault="00644D02" w:rsidP="00644D02">
            <w:pPr>
              <w:rPr>
                <w:sz w:val="13"/>
                <w:szCs w:val="13"/>
                <w:lang w:val="en-US"/>
              </w:rPr>
            </w:pPr>
            <w:r w:rsidRPr="00644D02">
              <w:rPr>
                <w:sz w:val="13"/>
                <w:szCs w:val="13"/>
                <w:lang w:val="en-US"/>
              </w:rPr>
              <w:t>1.51%</w:t>
            </w:r>
          </w:p>
        </w:tc>
        <w:tc>
          <w:tcPr>
            <w:tcW w:w="647" w:type="dxa"/>
            <w:vAlign w:val="center"/>
          </w:tcPr>
          <w:p w14:paraId="09887637" w14:textId="5A473137" w:rsidR="00644D02" w:rsidRPr="00644D02" w:rsidRDefault="00644D02" w:rsidP="00644D02">
            <w:pPr>
              <w:rPr>
                <w:sz w:val="13"/>
                <w:szCs w:val="13"/>
                <w:lang w:val="en-US"/>
              </w:rPr>
            </w:pPr>
            <w:r w:rsidRPr="00644D02">
              <w:rPr>
                <w:sz w:val="13"/>
                <w:szCs w:val="13"/>
                <w:lang w:val="en-US"/>
              </w:rPr>
              <w:t>-3.25%</w:t>
            </w:r>
          </w:p>
        </w:tc>
        <w:tc>
          <w:tcPr>
            <w:tcW w:w="647" w:type="dxa"/>
            <w:vAlign w:val="center"/>
          </w:tcPr>
          <w:p w14:paraId="532BBF92" w14:textId="7837F9B9" w:rsidR="00644D02" w:rsidRPr="00644D02" w:rsidRDefault="00644D02" w:rsidP="00644D02">
            <w:pPr>
              <w:rPr>
                <w:sz w:val="13"/>
                <w:szCs w:val="13"/>
                <w:lang w:val="en-US"/>
              </w:rPr>
            </w:pPr>
            <w:r w:rsidRPr="00644D02">
              <w:rPr>
                <w:sz w:val="13"/>
                <w:szCs w:val="13"/>
                <w:lang w:val="en-US"/>
              </w:rPr>
              <w:t>-3.06%</w:t>
            </w:r>
          </w:p>
        </w:tc>
        <w:tc>
          <w:tcPr>
            <w:tcW w:w="648" w:type="dxa"/>
            <w:vAlign w:val="center"/>
          </w:tcPr>
          <w:p w14:paraId="50612898" w14:textId="167419E2" w:rsidR="00644D02" w:rsidRPr="00644D02" w:rsidRDefault="00644D02" w:rsidP="00644D02">
            <w:pPr>
              <w:rPr>
                <w:sz w:val="13"/>
                <w:szCs w:val="13"/>
                <w:lang w:val="en-US"/>
              </w:rPr>
            </w:pPr>
            <w:r w:rsidRPr="00644D02">
              <w:rPr>
                <w:sz w:val="13"/>
                <w:szCs w:val="13"/>
                <w:lang w:val="en-US"/>
              </w:rPr>
              <w:t>-3:43%</w:t>
            </w:r>
          </w:p>
        </w:tc>
        <w:tc>
          <w:tcPr>
            <w:tcW w:w="648" w:type="dxa"/>
            <w:vAlign w:val="center"/>
          </w:tcPr>
          <w:p w14:paraId="3A5F1FEB" w14:textId="7F11A753" w:rsidR="00644D02" w:rsidRPr="00644D02" w:rsidRDefault="00644D02" w:rsidP="00644D02">
            <w:pPr>
              <w:rPr>
                <w:sz w:val="13"/>
                <w:szCs w:val="13"/>
                <w:lang w:val="en-US"/>
              </w:rPr>
            </w:pPr>
            <w:r w:rsidRPr="00644D02">
              <w:rPr>
                <w:sz w:val="13"/>
                <w:szCs w:val="13"/>
                <w:lang w:val="en-US"/>
              </w:rPr>
              <w:t>7.37%</w:t>
            </w:r>
          </w:p>
        </w:tc>
        <w:tc>
          <w:tcPr>
            <w:tcW w:w="648" w:type="dxa"/>
            <w:vAlign w:val="center"/>
          </w:tcPr>
          <w:p w14:paraId="6E5845E5" w14:textId="634D0C24" w:rsidR="00644D02" w:rsidRPr="00644D02" w:rsidRDefault="00644D02" w:rsidP="00644D02">
            <w:pPr>
              <w:rPr>
                <w:sz w:val="13"/>
                <w:szCs w:val="13"/>
                <w:lang w:val="en-US"/>
              </w:rPr>
            </w:pPr>
            <w:r w:rsidRPr="00644D02">
              <w:rPr>
                <w:sz w:val="13"/>
                <w:szCs w:val="13"/>
                <w:lang w:val="en-US"/>
              </w:rPr>
              <w:t>3.27%</w:t>
            </w:r>
          </w:p>
        </w:tc>
        <w:tc>
          <w:tcPr>
            <w:tcW w:w="648" w:type="dxa"/>
            <w:vAlign w:val="center"/>
          </w:tcPr>
          <w:p w14:paraId="4B7E65FD" w14:textId="1DD7BDFC" w:rsidR="00644D02" w:rsidRPr="00644D02" w:rsidRDefault="00644D02" w:rsidP="00644D02">
            <w:pPr>
              <w:rPr>
                <w:sz w:val="13"/>
                <w:szCs w:val="13"/>
                <w:lang w:val="en-US"/>
              </w:rPr>
            </w:pPr>
            <w:r w:rsidRPr="00644D02">
              <w:rPr>
                <w:sz w:val="13"/>
                <w:szCs w:val="13"/>
                <w:lang w:val="en-US"/>
              </w:rPr>
              <w:t>10.37%</w:t>
            </w:r>
          </w:p>
        </w:tc>
      </w:tr>
      <w:tr w:rsidR="00644D02" w14:paraId="359D0482" w14:textId="77777777" w:rsidTr="00644D02">
        <w:tc>
          <w:tcPr>
            <w:tcW w:w="647" w:type="dxa"/>
            <w:shd w:val="clear" w:color="auto" w:fill="D9D9D9" w:themeFill="background1" w:themeFillShade="D9"/>
            <w:vAlign w:val="center"/>
          </w:tcPr>
          <w:p w14:paraId="7A4619CB" w14:textId="78A03E84" w:rsidR="00644D02" w:rsidRPr="00644D02" w:rsidRDefault="00644D02" w:rsidP="00644D02">
            <w:pPr>
              <w:rPr>
                <w:sz w:val="13"/>
                <w:szCs w:val="13"/>
                <w:lang w:val="en-US"/>
              </w:rPr>
            </w:pPr>
            <w:r w:rsidRPr="00644D02">
              <w:rPr>
                <w:sz w:val="13"/>
                <w:szCs w:val="13"/>
                <w:lang w:val="en-US"/>
              </w:rPr>
              <w:t>2024</w:t>
            </w:r>
          </w:p>
        </w:tc>
        <w:tc>
          <w:tcPr>
            <w:tcW w:w="647" w:type="dxa"/>
            <w:vAlign w:val="center"/>
          </w:tcPr>
          <w:p w14:paraId="6E588332" w14:textId="368B4338" w:rsidR="00644D02" w:rsidRPr="00644D02" w:rsidRDefault="00644D02" w:rsidP="00644D02">
            <w:pPr>
              <w:rPr>
                <w:sz w:val="13"/>
                <w:szCs w:val="13"/>
                <w:lang w:val="en-US"/>
              </w:rPr>
            </w:pPr>
            <w:r w:rsidRPr="00644D02">
              <w:rPr>
                <w:sz w:val="13"/>
                <w:szCs w:val="13"/>
                <w:lang w:val="en-US"/>
              </w:rPr>
              <w:t>1.22%</w:t>
            </w:r>
          </w:p>
        </w:tc>
        <w:tc>
          <w:tcPr>
            <w:tcW w:w="647" w:type="dxa"/>
            <w:vAlign w:val="center"/>
          </w:tcPr>
          <w:p w14:paraId="54ADF825" w14:textId="179E792A" w:rsidR="00644D02" w:rsidRPr="00644D02" w:rsidRDefault="00644D02" w:rsidP="00644D02">
            <w:pPr>
              <w:rPr>
                <w:sz w:val="13"/>
                <w:szCs w:val="13"/>
                <w:lang w:val="en-US"/>
              </w:rPr>
            </w:pPr>
            <w:r w:rsidRPr="00644D02">
              <w:rPr>
                <w:sz w:val="13"/>
                <w:szCs w:val="13"/>
                <w:lang w:val="en-US"/>
              </w:rPr>
              <w:t>2.76%</w:t>
            </w:r>
          </w:p>
        </w:tc>
        <w:tc>
          <w:tcPr>
            <w:tcW w:w="647" w:type="dxa"/>
            <w:vAlign w:val="center"/>
          </w:tcPr>
          <w:p w14:paraId="31157B55" w14:textId="359AEE1D" w:rsidR="00644D02" w:rsidRPr="00644D02" w:rsidRDefault="00644D02" w:rsidP="00644D02">
            <w:pPr>
              <w:rPr>
                <w:sz w:val="13"/>
                <w:szCs w:val="13"/>
                <w:lang w:val="en-US"/>
              </w:rPr>
            </w:pPr>
            <w:r w:rsidRPr="00644D02">
              <w:rPr>
                <w:sz w:val="13"/>
                <w:szCs w:val="13"/>
                <w:lang w:val="en-US"/>
              </w:rPr>
              <w:t xml:space="preserve"> 4.22%</w:t>
            </w:r>
          </w:p>
        </w:tc>
        <w:tc>
          <w:tcPr>
            <w:tcW w:w="647" w:type="dxa"/>
            <w:vAlign w:val="center"/>
          </w:tcPr>
          <w:p w14:paraId="20294831" w14:textId="13ADAEAC" w:rsidR="00644D02" w:rsidRPr="00644D02" w:rsidRDefault="00644D02" w:rsidP="00644D02">
            <w:pPr>
              <w:rPr>
                <w:sz w:val="13"/>
                <w:szCs w:val="13"/>
                <w:lang w:val="en-US"/>
              </w:rPr>
            </w:pPr>
            <w:r w:rsidRPr="00644D02">
              <w:rPr>
                <w:sz w:val="13"/>
                <w:szCs w:val="13"/>
                <w:lang w:val="en-US"/>
              </w:rPr>
              <w:t>-1.58%</w:t>
            </w:r>
          </w:p>
        </w:tc>
        <w:tc>
          <w:tcPr>
            <w:tcW w:w="647" w:type="dxa"/>
            <w:vAlign w:val="center"/>
          </w:tcPr>
          <w:p w14:paraId="6AC3513F" w14:textId="0912B1B0" w:rsidR="00644D02" w:rsidRPr="00644D02" w:rsidRDefault="00644D02" w:rsidP="00644D02">
            <w:pPr>
              <w:rPr>
                <w:sz w:val="13"/>
                <w:szCs w:val="13"/>
                <w:lang w:val="en-US"/>
              </w:rPr>
            </w:pPr>
            <w:r w:rsidRPr="00644D02">
              <w:rPr>
                <w:sz w:val="13"/>
                <w:szCs w:val="13"/>
                <w:lang w:val="en-US"/>
              </w:rPr>
              <w:t>2.36%</w:t>
            </w:r>
          </w:p>
        </w:tc>
        <w:tc>
          <w:tcPr>
            <w:tcW w:w="647" w:type="dxa"/>
            <w:vAlign w:val="center"/>
          </w:tcPr>
          <w:p w14:paraId="6210C8BC" w14:textId="2D375F11" w:rsidR="00644D02" w:rsidRPr="00644D02" w:rsidRDefault="00644D02" w:rsidP="00644D02">
            <w:pPr>
              <w:rPr>
                <w:sz w:val="13"/>
                <w:szCs w:val="13"/>
                <w:lang w:val="en-US"/>
              </w:rPr>
            </w:pPr>
            <w:r w:rsidRPr="00644D02">
              <w:rPr>
                <w:sz w:val="13"/>
                <w:szCs w:val="13"/>
                <w:lang w:val="en-US"/>
              </w:rPr>
              <w:t>-3.61%</w:t>
            </w:r>
          </w:p>
        </w:tc>
        <w:tc>
          <w:tcPr>
            <w:tcW w:w="647" w:type="dxa"/>
            <w:vAlign w:val="center"/>
          </w:tcPr>
          <w:p w14:paraId="38F1AEE3" w14:textId="4046D682" w:rsidR="00644D02" w:rsidRPr="00644D02" w:rsidRDefault="00644D02" w:rsidP="00644D02">
            <w:pPr>
              <w:rPr>
                <w:sz w:val="13"/>
                <w:szCs w:val="13"/>
                <w:lang w:val="en-US"/>
              </w:rPr>
            </w:pPr>
            <w:r w:rsidRPr="00644D02">
              <w:rPr>
                <w:sz w:val="13"/>
                <w:szCs w:val="13"/>
                <w:lang w:val="en-US"/>
              </w:rPr>
              <w:t>1.47%</w:t>
            </w:r>
          </w:p>
        </w:tc>
        <w:tc>
          <w:tcPr>
            <w:tcW w:w="647" w:type="dxa"/>
            <w:vAlign w:val="center"/>
          </w:tcPr>
          <w:p w14:paraId="2ACF0518" w14:textId="78A01011" w:rsidR="00644D02" w:rsidRPr="00644D02" w:rsidRDefault="00644D02" w:rsidP="00644D02">
            <w:pPr>
              <w:rPr>
                <w:sz w:val="13"/>
                <w:szCs w:val="13"/>
                <w:lang w:val="en-US"/>
              </w:rPr>
            </w:pPr>
            <w:r w:rsidRPr="00644D02">
              <w:rPr>
                <w:sz w:val="13"/>
                <w:szCs w:val="13"/>
                <w:lang w:val="en-US"/>
              </w:rPr>
              <w:t>1.52%</w:t>
            </w:r>
          </w:p>
        </w:tc>
        <w:tc>
          <w:tcPr>
            <w:tcW w:w="647" w:type="dxa"/>
            <w:vAlign w:val="center"/>
          </w:tcPr>
          <w:p w14:paraId="63034042" w14:textId="2F954A06" w:rsidR="00644D02" w:rsidRPr="00644D02" w:rsidRDefault="00644D02" w:rsidP="00644D02">
            <w:pPr>
              <w:rPr>
                <w:sz w:val="13"/>
                <w:szCs w:val="13"/>
                <w:lang w:val="en-US"/>
              </w:rPr>
            </w:pPr>
            <w:r w:rsidRPr="00644D02">
              <w:rPr>
                <w:sz w:val="13"/>
                <w:szCs w:val="13"/>
                <w:lang w:val="en-US"/>
              </w:rPr>
              <w:t>0.99%</w:t>
            </w:r>
          </w:p>
        </w:tc>
        <w:tc>
          <w:tcPr>
            <w:tcW w:w="648" w:type="dxa"/>
            <w:vAlign w:val="center"/>
          </w:tcPr>
          <w:p w14:paraId="0EC51C51" w14:textId="0D4586C0" w:rsidR="00644D02" w:rsidRPr="00644D02" w:rsidRDefault="00644D02" w:rsidP="00644D02">
            <w:pPr>
              <w:rPr>
                <w:sz w:val="13"/>
                <w:szCs w:val="13"/>
                <w:lang w:val="en-US"/>
              </w:rPr>
            </w:pPr>
            <w:r w:rsidRPr="00644D02">
              <w:rPr>
                <w:sz w:val="13"/>
                <w:szCs w:val="13"/>
                <w:lang w:val="en-US"/>
              </w:rPr>
              <w:t>-3.31%</w:t>
            </w:r>
          </w:p>
        </w:tc>
        <w:tc>
          <w:tcPr>
            <w:tcW w:w="648" w:type="dxa"/>
            <w:vAlign w:val="center"/>
          </w:tcPr>
          <w:p w14:paraId="3ADBF7F6" w14:textId="3F4F1A90" w:rsidR="00644D02" w:rsidRPr="00644D02" w:rsidRDefault="00644D02" w:rsidP="00644D02">
            <w:pPr>
              <w:rPr>
                <w:sz w:val="13"/>
                <w:szCs w:val="13"/>
                <w:lang w:val="en-US"/>
              </w:rPr>
            </w:pPr>
            <w:r w:rsidRPr="00644D02">
              <w:rPr>
                <w:sz w:val="13"/>
                <w:szCs w:val="13"/>
                <w:lang w:val="en-US"/>
              </w:rPr>
              <w:t>-0.22%</w:t>
            </w:r>
          </w:p>
        </w:tc>
        <w:tc>
          <w:tcPr>
            <w:tcW w:w="648" w:type="dxa"/>
            <w:vAlign w:val="center"/>
          </w:tcPr>
          <w:p w14:paraId="23C47C79" w14:textId="58BAE399" w:rsidR="00644D02" w:rsidRPr="00644D02" w:rsidRDefault="00644D02" w:rsidP="00644D02">
            <w:pPr>
              <w:rPr>
                <w:sz w:val="13"/>
                <w:szCs w:val="13"/>
                <w:lang w:val="en-US"/>
              </w:rPr>
            </w:pPr>
            <w:r w:rsidRPr="00644D02">
              <w:rPr>
                <w:sz w:val="13"/>
                <w:szCs w:val="13"/>
                <w:lang w:val="en-US"/>
              </w:rPr>
              <w:t>1.02%</w:t>
            </w:r>
          </w:p>
        </w:tc>
        <w:tc>
          <w:tcPr>
            <w:tcW w:w="648" w:type="dxa"/>
            <w:vAlign w:val="center"/>
          </w:tcPr>
          <w:p w14:paraId="43E7FB35" w14:textId="14BA43E5" w:rsidR="00644D02" w:rsidRPr="00644D02" w:rsidRDefault="00644D02" w:rsidP="00644D02">
            <w:pPr>
              <w:rPr>
                <w:sz w:val="13"/>
                <w:szCs w:val="13"/>
                <w:lang w:val="en-US"/>
              </w:rPr>
            </w:pPr>
            <w:r w:rsidRPr="00644D02">
              <w:rPr>
                <w:sz w:val="13"/>
                <w:szCs w:val="13"/>
                <w:lang w:val="en-US"/>
              </w:rPr>
              <w:t>6.74%</w:t>
            </w:r>
          </w:p>
        </w:tc>
      </w:tr>
      <w:tr w:rsidR="00644D02" w14:paraId="5429F9A6" w14:textId="77777777" w:rsidTr="00644D02">
        <w:tc>
          <w:tcPr>
            <w:tcW w:w="647" w:type="dxa"/>
            <w:shd w:val="clear" w:color="auto" w:fill="D9D9D9" w:themeFill="background1" w:themeFillShade="D9"/>
            <w:vAlign w:val="center"/>
          </w:tcPr>
          <w:p w14:paraId="5869FC3B" w14:textId="695B3CC7" w:rsidR="00644D02" w:rsidRPr="00644D02" w:rsidRDefault="00644D02" w:rsidP="00644D02">
            <w:pPr>
              <w:rPr>
                <w:sz w:val="13"/>
                <w:szCs w:val="13"/>
                <w:lang w:val="en-US"/>
              </w:rPr>
            </w:pPr>
            <w:r w:rsidRPr="00644D02">
              <w:rPr>
                <w:sz w:val="13"/>
                <w:szCs w:val="13"/>
                <w:lang w:val="en-US"/>
              </w:rPr>
              <w:t>2025</w:t>
            </w:r>
          </w:p>
        </w:tc>
        <w:tc>
          <w:tcPr>
            <w:tcW w:w="647" w:type="dxa"/>
            <w:vAlign w:val="center"/>
          </w:tcPr>
          <w:p w14:paraId="74FE5206" w14:textId="6C379893" w:rsidR="00644D02" w:rsidRPr="00644D02" w:rsidRDefault="00644D02" w:rsidP="00644D02">
            <w:pPr>
              <w:rPr>
                <w:sz w:val="13"/>
                <w:szCs w:val="13"/>
                <w:lang w:val="en-US"/>
              </w:rPr>
            </w:pPr>
            <w:r w:rsidRPr="00644D02">
              <w:rPr>
                <w:sz w:val="13"/>
                <w:szCs w:val="13"/>
                <w:lang w:val="en-US"/>
              </w:rPr>
              <w:t>6.91%</w:t>
            </w:r>
          </w:p>
        </w:tc>
        <w:tc>
          <w:tcPr>
            <w:tcW w:w="647" w:type="dxa"/>
            <w:vAlign w:val="center"/>
          </w:tcPr>
          <w:p w14:paraId="5B9DB447" w14:textId="2BE52A07" w:rsidR="00644D02" w:rsidRPr="00644D02" w:rsidRDefault="00644D02" w:rsidP="00644D02">
            <w:pPr>
              <w:rPr>
                <w:sz w:val="13"/>
                <w:szCs w:val="13"/>
                <w:lang w:val="en-US"/>
              </w:rPr>
            </w:pPr>
            <w:r w:rsidRPr="00644D02">
              <w:rPr>
                <w:sz w:val="13"/>
                <w:szCs w:val="13"/>
                <w:lang w:val="en-US"/>
              </w:rPr>
              <w:t>3.12%</w:t>
            </w:r>
          </w:p>
        </w:tc>
        <w:tc>
          <w:tcPr>
            <w:tcW w:w="647" w:type="dxa"/>
            <w:vAlign w:val="center"/>
          </w:tcPr>
          <w:p w14:paraId="4C19EA9F" w14:textId="118A144E" w:rsidR="00644D02" w:rsidRPr="00644D02" w:rsidRDefault="00644D02" w:rsidP="00644D02">
            <w:pPr>
              <w:rPr>
                <w:bCs/>
                <w:sz w:val="13"/>
                <w:szCs w:val="13"/>
                <w:lang w:val="en-US"/>
              </w:rPr>
            </w:pPr>
            <w:r w:rsidRPr="00644D02">
              <w:rPr>
                <w:bCs/>
                <w:sz w:val="13"/>
                <w:szCs w:val="13"/>
                <w:lang w:val="en-US"/>
              </w:rPr>
              <w:t>-3.14%</w:t>
            </w:r>
          </w:p>
        </w:tc>
        <w:tc>
          <w:tcPr>
            <w:tcW w:w="647" w:type="dxa"/>
            <w:vAlign w:val="center"/>
          </w:tcPr>
          <w:p w14:paraId="194AC602" w14:textId="7D457342" w:rsidR="00644D02" w:rsidRPr="00644D02" w:rsidRDefault="00434557" w:rsidP="00644D02">
            <w:pPr>
              <w:rPr>
                <w:sz w:val="13"/>
                <w:szCs w:val="13"/>
                <w:lang w:val="en-US"/>
              </w:rPr>
            </w:pPr>
            <w:r>
              <w:rPr>
                <w:sz w:val="13"/>
                <w:szCs w:val="13"/>
                <w:lang w:val="en-US"/>
              </w:rPr>
              <w:t>1.06%</w:t>
            </w:r>
          </w:p>
        </w:tc>
        <w:tc>
          <w:tcPr>
            <w:tcW w:w="647" w:type="dxa"/>
            <w:vAlign w:val="center"/>
          </w:tcPr>
          <w:p w14:paraId="649AF1F2" w14:textId="066318DB" w:rsidR="00644D02" w:rsidRPr="00644D02" w:rsidRDefault="00AB1998" w:rsidP="00644D02">
            <w:pPr>
              <w:rPr>
                <w:sz w:val="13"/>
                <w:szCs w:val="13"/>
                <w:lang w:val="en-US"/>
              </w:rPr>
            </w:pPr>
            <w:r>
              <w:rPr>
                <w:sz w:val="13"/>
                <w:szCs w:val="13"/>
                <w:lang w:val="en-US"/>
              </w:rPr>
              <w:t>4.77%</w:t>
            </w:r>
          </w:p>
        </w:tc>
        <w:tc>
          <w:tcPr>
            <w:tcW w:w="647" w:type="dxa"/>
            <w:vAlign w:val="center"/>
          </w:tcPr>
          <w:p w14:paraId="2740CC19" w14:textId="4986F3DA" w:rsidR="00644D02" w:rsidRPr="00644D02" w:rsidRDefault="00BC7173" w:rsidP="00644D02">
            <w:pPr>
              <w:rPr>
                <w:sz w:val="13"/>
                <w:szCs w:val="13"/>
                <w:lang w:val="en-US"/>
              </w:rPr>
            </w:pPr>
            <w:r>
              <w:rPr>
                <w:sz w:val="13"/>
                <w:szCs w:val="13"/>
                <w:lang w:val="en-US"/>
              </w:rPr>
              <w:t>-1.11</w:t>
            </w:r>
            <w:r w:rsidR="00490AB3">
              <w:rPr>
                <w:sz w:val="13"/>
                <w:szCs w:val="13"/>
                <w:lang w:val="en-US"/>
              </w:rPr>
              <w:t>%</w:t>
            </w:r>
          </w:p>
        </w:tc>
        <w:tc>
          <w:tcPr>
            <w:tcW w:w="647" w:type="dxa"/>
            <w:vAlign w:val="center"/>
          </w:tcPr>
          <w:p w14:paraId="7BE2A63B" w14:textId="7C7A7B40" w:rsidR="00644D02" w:rsidRPr="00644D02" w:rsidRDefault="008152EB" w:rsidP="00644D02">
            <w:pPr>
              <w:rPr>
                <w:sz w:val="13"/>
                <w:szCs w:val="13"/>
                <w:lang w:val="en-US"/>
              </w:rPr>
            </w:pPr>
            <w:r>
              <w:rPr>
                <w:sz w:val="13"/>
                <w:szCs w:val="13"/>
                <w:lang w:val="en-US"/>
              </w:rPr>
              <w:t>1.23%</w:t>
            </w:r>
          </w:p>
        </w:tc>
        <w:tc>
          <w:tcPr>
            <w:tcW w:w="647" w:type="dxa"/>
            <w:vAlign w:val="center"/>
          </w:tcPr>
          <w:p w14:paraId="41102CC1" w14:textId="519DCE1F" w:rsidR="00644D02" w:rsidRPr="00644D02" w:rsidRDefault="008152EB" w:rsidP="00644D02">
            <w:pPr>
              <w:rPr>
                <w:sz w:val="13"/>
                <w:szCs w:val="13"/>
                <w:lang w:val="en-US"/>
              </w:rPr>
            </w:pPr>
            <w:r>
              <w:rPr>
                <w:sz w:val="13"/>
                <w:szCs w:val="13"/>
                <w:lang w:val="en-US"/>
              </w:rPr>
              <w:t>0.33%</w:t>
            </w:r>
          </w:p>
        </w:tc>
        <w:tc>
          <w:tcPr>
            <w:tcW w:w="647" w:type="dxa"/>
            <w:vAlign w:val="center"/>
          </w:tcPr>
          <w:p w14:paraId="2491C3C1" w14:textId="0F83E334" w:rsidR="00644D02" w:rsidRPr="00644D02" w:rsidRDefault="009B2067" w:rsidP="00644D02">
            <w:pPr>
              <w:rPr>
                <w:sz w:val="13"/>
                <w:szCs w:val="13"/>
                <w:lang w:val="en-US"/>
              </w:rPr>
            </w:pPr>
            <w:r>
              <w:rPr>
                <w:sz w:val="13"/>
                <w:szCs w:val="13"/>
                <w:lang w:val="en-US"/>
              </w:rPr>
              <w:t>2.20%</w:t>
            </w:r>
          </w:p>
        </w:tc>
        <w:tc>
          <w:tcPr>
            <w:tcW w:w="648" w:type="dxa"/>
            <w:vAlign w:val="center"/>
          </w:tcPr>
          <w:p w14:paraId="070F7C36" w14:textId="58903E72" w:rsidR="00644D02" w:rsidRPr="00644D02" w:rsidRDefault="00CA57AB" w:rsidP="00644D02">
            <w:pPr>
              <w:rPr>
                <w:sz w:val="13"/>
                <w:szCs w:val="13"/>
                <w:lang w:val="en-US"/>
              </w:rPr>
            </w:pPr>
            <w:r>
              <w:rPr>
                <w:sz w:val="13"/>
                <w:szCs w:val="13"/>
                <w:lang w:val="en-US"/>
              </w:rPr>
              <w:t>2.49%</w:t>
            </w:r>
          </w:p>
        </w:tc>
        <w:tc>
          <w:tcPr>
            <w:tcW w:w="648" w:type="dxa"/>
            <w:vAlign w:val="center"/>
          </w:tcPr>
          <w:p w14:paraId="781CE6D3" w14:textId="76844F57" w:rsidR="00644D02" w:rsidRPr="00644D02" w:rsidRDefault="00E446BD" w:rsidP="00644D02">
            <w:pPr>
              <w:rPr>
                <w:sz w:val="13"/>
                <w:szCs w:val="13"/>
                <w:lang w:val="en-US"/>
              </w:rPr>
            </w:pPr>
            <w:r>
              <w:rPr>
                <w:sz w:val="13"/>
                <w:szCs w:val="13"/>
                <w:lang w:val="en-US"/>
              </w:rPr>
              <w:t>0.18%</w:t>
            </w:r>
          </w:p>
        </w:tc>
        <w:tc>
          <w:tcPr>
            <w:tcW w:w="648" w:type="dxa"/>
            <w:vAlign w:val="center"/>
          </w:tcPr>
          <w:p w14:paraId="07D02A3C" w14:textId="589E36E5" w:rsidR="00644D02" w:rsidRPr="00644D02" w:rsidRDefault="002B6D0A" w:rsidP="00644D02">
            <w:pPr>
              <w:rPr>
                <w:sz w:val="13"/>
                <w:szCs w:val="13"/>
                <w:lang w:val="en-US"/>
              </w:rPr>
            </w:pPr>
            <w:r>
              <w:rPr>
                <w:sz w:val="13"/>
                <w:szCs w:val="13"/>
                <w:lang w:val="en-US"/>
              </w:rPr>
              <w:t>1.80%</w:t>
            </w:r>
          </w:p>
        </w:tc>
        <w:tc>
          <w:tcPr>
            <w:tcW w:w="648" w:type="dxa"/>
            <w:vAlign w:val="center"/>
          </w:tcPr>
          <w:p w14:paraId="57F103C1" w14:textId="0CF905F0" w:rsidR="00644D02" w:rsidRPr="00644D02" w:rsidRDefault="002B6D0A" w:rsidP="00644D02">
            <w:pPr>
              <w:rPr>
                <w:sz w:val="13"/>
                <w:szCs w:val="13"/>
                <w:lang w:val="en-US"/>
              </w:rPr>
            </w:pPr>
            <w:r>
              <w:rPr>
                <w:sz w:val="13"/>
                <w:szCs w:val="13"/>
                <w:lang w:val="en-US"/>
              </w:rPr>
              <w:t>21.30</w:t>
            </w:r>
            <w:r w:rsidR="00434557">
              <w:rPr>
                <w:sz w:val="13"/>
                <w:szCs w:val="13"/>
                <w:lang w:val="en-US"/>
              </w:rPr>
              <w:t>%</w:t>
            </w:r>
          </w:p>
        </w:tc>
      </w:tr>
      <w:tr w:rsidR="002C7EF8" w14:paraId="1A6BF114" w14:textId="77777777" w:rsidTr="00644D02">
        <w:tc>
          <w:tcPr>
            <w:tcW w:w="647" w:type="dxa"/>
            <w:shd w:val="clear" w:color="auto" w:fill="D9D9D9" w:themeFill="background1" w:themeFillShade="D9"/>
            <w:vAlign w:val="center"/>
          </w:tcPr>
          <w:p w14:paraId="6A851126" w14:textId="19F4BB62" w:rsidR="002C7EF8" w:rsidRPr="00644D02" w:rsidRDefault="002C7EF8" w:rsidP="00644D02">
            <w:pPr>
              <w:rPr>
                <w:sz w:val="13"/>
                <w:szCs w:val="13"/>
                <w:lang w:val="en-US"/>
              </w:rPr>
            </w:pPr>
            <w:r>
              <w:rPr>
                <w:sz w:val="13"/>
                <w:szCs w:val="13"/>
                <w:lang w:val="en-US"/>
              </w:rPr>
              <w:t>2026</w:t>
            </w:r>
          </w:p>
        </w:tc>
        <w:tc>
          <w:tcPr>
            <w:tcW w:w="647" w:type="dxa"/>
            <w:vAlign w:val="center"/>
          </w:tcPr>
          <w:p w14:paraId="0DEFC0BD" w14:textId="412917EA" w:rsidR="002C7EF8" w:rsidRPr="00644D02" w:rsidRDefault="002C7EF8" w:rsidP="00644D02">
            <w:pPr>
              <w:rPr>
                <w:sz w:val="13"/>
                <w:szCs w:val="13"/>
                <w:lang w:val="en-US"/>
              </w:rPr>
            </w:pPr>
            <w:r>
              <w:rPr>
                <w:sz w:val="13"/>
                <w:szCs w:val="13"/>
                <w:lang w:val="en-US"/>
              </w:rPr>
              <w:t>2.24%</w:t>
            </w:r>
          </w:p>
        </w:tc>
        <w:tc>
          <w:tcPr>
            <w:tcW w:w="647" w:type="dxa"/>
            <w:vAlign w:val="center"/>
          </w:tcPr>
          <w:p w14:paraId="41C1D5A5" w14:textId="54540607" w:rsidR="002C7EF8" w:rsidRPr="00644D02" w:rsidRDefault="001015FD" w:rsidP="00644D02">
            <w:pPr>
              <w:rPr>
                <w:sz w:val="13"/>
                <w:szCs w:val="13"/>
                <w:lang w:val="en-US"/>
              </w:rPr>
            </w:pPr>
            <w:r>
              <w:rPr>
                <w:sz w:val="13"/>
                <w:szCs w:val="13"/>
                <w:lang w:val="en-US"/>
              </w:rPr>
              <w:t>3.09%</w:t>
            </w:r>
          </w:p>
        </w:tc>
        <w:tc>
          <w:tcPr>
            <w:tcW w:w="647" w:type="dxa"/>
            <w:vAlign w:val="center"/>
          </w:tcPr>
          <w:p w14:paraId="442E039E" w14:textId="4F4015AF" w:rsidR="002C7EF8" w:rsidRPr="00644D02" w:rsidRDefault="002F27A0" w:rsidP="00644D02">
            <w:pPr>
              <w:rPr>
                <w:bCs/>
                <w:sz w:val="13"/>
                <w:szCs w:val="13"/>
                <w:lang w:val="en-US"/>
              </w:rPr>
            </w:pPr>
            <w:r>
              <w:rPr>
                <w:bCs/>
                <w:sz w:val="13"/>
                <w:szCs w:val="13"/>
                <w:lang w:val="en-US"/>
              </w:rPr>
              <w:t>-8.35%</w:t>
            </w:r>
          </w:p>
        </w:tc>
        <w:tc>
          <w:tcPr>
            <w:tcW w:w="647" w:type="dxa"/>
            <w:vAlign w:val="center"/>
          </w:tcPr>
          <w:p w14:paraId="344D94B9" w14:textId="0C6D060F" w:rsidR="002C7EF8" w:rsidRDefault="00741D60" w:rsidP="00644D02">
            <w:pPr>
              <w:rPr>
                <w:sz w:val="13"/>
                <w:szCs w:val="13"/>
                <w:lang w:val="en-US"/>
              </w:rPr>
            </w:pPr>
            <w:r>
              <w:rPr>
                <w:sz w:val="13"/>
                <w:szCs w:val="13"/>
                <w:lang w:val="en-US"/>
              </w:rPr>
              <w:t>5.06%</w:t>
            </w:r>
          </w:p>
        </w:tc>
        <w:tc>
          <w:tcPr>
            <w:tcW w:w="647" w:type="dxa"/>
            <w:vAlign w:val="center"/>
          </w:tcPr>
          <w:p w14:paraId="1F4F4C42" w14:textId="77777777" w:rsidR="002C7EF8" w:rsidRDefault="002C7EF8" w:rsidP="00644D02">
            <w:pPr>
              <w:rPr>
                <w:sz w:val="13"/>
                <w:szCs w:val="13"/>
                <w:lang w:val="en-US"/>
              </w:rPr>
            </w:pPr>
          </w:p>
        </w:tc>
        <w:tc>
          <w:tcPr>
            <w:tcW w:w="647" w:type="dxa"/>
            <w:vAlign w:val="center"/>
          </w:tcPr>
          <w:p w14:paraId="402D4BA8" w14:textId="77777777" w:rsidR="002C7EF8" w:rsidRDefault="002C7EF8" w:rsidP="00644D02">
            <w:pPr>
              <w:rPr>
                <w:sz w:val="13"/>
                <w:szCs w:val="13"/>
                <w:lang w:val="en-US"/>
              </w:rPr>
            </w:pPr>
          </w:p>
        </w:tc>
        <w:tc>
          <w:tcPr>
            <w:tcW w:w="647" w:type="dxa"/>
            <w:vAlign w:val="center"/>
          </w:tcPr>
          <w:p w14:paraId="24BC310B" w14:textId="77777777" w:rsidR="002C7EF8" w:rsidRDefault="002C7EF8" w:rsidP="00644D02">
            <w:pPr>
              <w:rPr>
                <w:sz w:val="13"/>
                <w:szCs w:val="13"/>
                <w:lang w:val="en-US"/>
              </w:rPr>
            </w:pPr>
          </w:p>
        </w:tc>
        <w:tc>
          <w:tcPr>
            <w:tcW w:w="647" w:type="dxa"/>
            <w:vAlign w:val="center"/>
          </w:tcPr>
          <w:p w14:paraId="62B231A2" w14:textId="77777777" w:rsidR="002C7EF8" w:rsidRDefault="002C7EF8" w:rsidP="00644D02">
            <w:pPr>
              <w:rPr>
                <w:sz w:val="13"/>
                <w:szCs w:val="13"/>
                <w:lang w:val="en-US"/>
              </w:rPr>
            </w:pPr>
          </w:p>
        </w:tc>
        <w:tc>
          <w:tcPr>
            <w:tcW w:w="647" w:type="dxa"/>
            <w:vAlign w:val="center"/>
          </w:tcPr>
          <w:p w14:paraId="69270E5B" w14:textId="77777777" w:rsidR="002C7EF8" w:rsidRDefault="002C7EF8" w:rsidP="00644D02">
            <w:pPr>
              <w:rPr>
                <w:sz w:val="13"/>
                <w:szCs w:val="13"/>
                <w:lang w:val="en-US"/>
              </w:rPr>
            </w:pPr>
          </w:p>
        </w:tc>
        <w:tc>
          <w:tcPr>
            <w:tcW w:w="648" w:type="dxa"/>
            <w:vAlign w:val="center"/>
          </w:tcPr>
          <w:p w14:paraId="1A5EB897" w14:textId="77777777" w:rsidR="002C7EF8" w:rsidRDefault="002C7EF8" w:rsidP="00644D02">
            <w:pPr>
              <w:rPr>
                <w:sz w:val="13"/>
                <w:szCs w:val="13"/>
                <w:lang w:val="en-US"/>
              </w:rPr>
            </w:pPr>
          </w:p>
        </w:tc>
        <w:tc>
          <w:tcPr>
            <w:tcW w:w="648" w:type="dxa"/>
            <w:vAlign w:val="center"/>
          </w:tcPr>
          <w:p w14:paraId="3EDC322D" w14:textId="77777777" w:rsidR="002C7EF8" w:rsidRDefault="002C7EF8" w:rsidP="00644D02">
            <w:pPr>
              <w:rPr>
                <w:sz w:val="13"/>
                <w:szCs w:val="13"/>
                <w:lang w:val="en-US"/>
              </w:rPr>
            </w:pPr>
          </w:p>
        </w:tc>
        <w:tc>
          <w:tcPr>
            <w:tcW w:w="648" w:type="dxa"/>
            <w:vAlign w:val="center"/>
          </w:tcPr>
          <w:p w14:paraId="207DC077" w14:textId="77777777" w:rsidR="002C7EF8" w:rsidRDefault="002C7EF8" w:rsidP="00644D02">
            <w:pPr>
              <w:rPr>
                <w:sz w:val="13"/>
                <w:szCs w:val="13"/>
                <w:lang w:val="en-US"/>
              </w:rPr>
            </w:pPr>
          </w:p>
        </w:tc>
        <w:tc>
          <w:tcPr>
            <w:tcW w:w="648" w:type="dxa"/>
            <w:vAlign w:val="center"/>
          </w:tcPr>
          <w:p w14:paraId="134D6016" w14:textId="2F4069FD" w:rsidR="002C7EF8" w:rsidRDefault="00741D60" w:rsidP="00644D02">
            <w:pPr>
              <w:rPr>
                <w:sz w:val="13"/>
                <w:szCs w:val="13"/>
                <w:lang w:val="en-US"/>
              </w:rPr>
            </w:pPr>
            <w:r>
              <w:rPr>
                <w:sz w:val="13"/>
                <w:szCs w:val="13"/>
                <w:lang w:val="en-US"/>
              </w:rPr>
              <w:t>1.49</w:t>
            </w:r>
            <w:r w:rsidR="002C7EF8">
              <w:rPr>
                <w:sz w:val="13"/>
                <w:szCs w:val="13"/>
                <w:lang w:val="en-US"/>
              </w:rPr>
              <w:t>%</w:t>
            </w:r>
          </w:p>
        </w:tc>
      </w:tr>
    </w:tbl>
    <w:tbl>
      <w:tblPr>
        <w:tblStyle w:val="TableGrid"/>
        <w:tblW w:w="5333" w:type="pct"/>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9674"/>
      </w:tblGrid>
      <w:tr w:rsidR="0093310C" w:rsidRPr="00835938" w14:paraId="38E7E66E" w14:textId="77777777" w:rsidTr="00644D02">
        <w:tc>
          <w:tcPr>
            <w:tcW w:w="9676" w:type="dxa"/>
          </w:tcPr>
          <w:p w14:paraId="2CC108BD" w14:textId="1E20EA26" w:rsidR="0093310C" w:rsidRPr="00340BB1" w:rsidRDefault="0093310C" w:rsidP="002964CD">
            <w:pPr>
              <w:rPr>
                <w:lang w:val="en-US"/>
              </w:rPr>
            </w:pPr>
          </w:p>
        </w:tc>
      </w:tr>
    </w:tbl>
    <w:p w14:paraId="022400A4" w14:textId="77777777" w:rsidR="006074EF" w:rsidRPr="00886627" w:rsidRDefault="006074EF" w:rsidP="006074EF">
      <w:pPr>
        <w:pStyle w:val="Heading1"/>
        <w:spacing w:before="240" w:after="120"/>
        <w:rPr>
          <w:rFonts w:asciiTheme="minorHAnsi" w:hAnsiTheme="minorHAnsi"/>
          <w:color w:val="C00000"/>
          <w:sz w:val="24"/>
          <w:lang w:val="en-US"/>
        </w:rPr>
      </w:pPr>
      <w:r w:rsidRPr="00E1240A">
        <w:rPr>
          <w:rFonts w:asciiTheme="minorHAnsi" w:hAnsiTheme="minorHAnsi"/>
          <w:color w:val="C00000"/>
          <w:sz w:val="24"/>
          <w:lang w:val="en-US"/>
        </w:rPr>
        <w:t>Figures &amp; Ratios</w:t>
      </w:r>
    </w:p>
    <w:p w14:paraId="4D419669" w14:textId="75E829D4" w:rsidR="003D230E" w:rsidRDefault="006F73B5" w:rsidP="00F502BE">
      <w:pPr>
        <w:jc w:val="center"/>
        <w:rPr>
          <w:lang w:val="en-US"/>
        </w:rPr>
      </w:pPr>
      <w:r w:rsidRPr="006F73B5">
        <w:drawing>
          <wp:inline distT="0" distB="0" distL="0" distR="0" wp14:anchorId="3E94A3CE" wp14:editId="75F1F51A">
            <wp:extent cx="5759450" cy="1512570"/>
            <wp:effectExtent l="0" t="0" r="0" b="0"/>
            <wp:docPr id="11688323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1512570"/>
                    </a:xfrm>
                    <a:prstGeom prst="rect">
                      <a:avLst/>
                    </a:prstGeom>
                    <a:noFill/>
                    <a:ln>
                      <a:noFill/>
                    </a:ln>
                  </pic:spPr>
                </pic:pic>
              </a:graphicData>
            </a:graphic>
          </wp:inline>
        </w:drawing>
      </w:r>
      <w:r w:rsidR="00253EE2" w:rsidRPr="00253EE2">
        <w:t xml:space="preserve"> </w:t>
      </w:r>
      <w:r w:rsidR="00490AB3" w:rsidRPr="00490AB3">
        <w:rPr>
          <w:noProof/>
        </w:rPr>
        <w:t xml:space="preserve"> </w:t>
      </w:r>
      <w:r w:rsidRPr="006F73B5">
        <w:drawing>
          <wp:inline distT="0" distB="0" distL="0" distR="0" wp14:anchorId="2F65D6FD" wp14:editId="27315E2E">
            <wp:extent cx="3420094" cy="2879743"/>
            <wp:effectExtent l="0" t="0" r="9525" b="0"/>
            <wp:docPr id="2048112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2580" cy="2890257"/>
                    </a:xfrm>
                    <a:prstGeom prst="rect">
                      <a:avLst/>
                    </a:prstGeom>
                    <a:noFill/>
                    <a:ln>
                      <a:noFill/>
                    </a:ln>
                  </pic:spPr>
                </pic:pic>
              </a:graphicData>
            </a:graphic>
          </wp:inline>
        </w:drawing>
      </w:r>
      <w:r w:rsidR="00253EE2" w:rsidRPr="00253EE2">
        <w:t xml:space="preserve"> </w:t>
      </w:r>
    </w:p>
    <w:tbl>
      <w:tblPr>
        <w:tblStyle w:val="TableGrid"/>
        <w:tblW w:w="10128" w:type="dxa"/>
        <w:tblInd w:w="-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Look w:val="04A0" w:firstRow="1" w:lastRow="0" w:firstColumn="1" w:lastColumn="0" w:noHBand="0" w:noVBand="1"/>
      </w:tblPr>
      <w:tblGrid>
        <w:gridCol w:w="5181"/>
        <w:gridCol w:w="4947"/>
      </w:tblGrid>
      <w:tr w:rsidR="00331F6A" w:rsidRPr="00835938" w14:paraId="050330B6" w14:textId="77777777" w:rsidTr="00D77307">
        <w:trPr>
          <w:trHeight w:val="1595"/>
        </w:trPr>
        <w:tc>
          <w:tcPr>
            <w:tcW w:w="5181" w:type="dxa"/>
            <w:tcBorders>
              <w:top w:val="nil"/>
              <w:left w:val="nil"/>
              <w:bottom w:val="nil"/>
              <w:right w:val="nil"/>
            </w:tcBorders>
            <w:shd w:val="clear" w:color="auto" w:fill="F2F2F2" w:themeFill="background1" w:themeFillShade="F2"/>
          </w:tcPr>
          <w:p w14:paraId="683416C1" w14:textId="77777777" w:rsidR="008E3503" w:rsidRPr="00835938" w:rsidRDefault="008E3503" w:rsidP="00C013B6">
            <w:pPr>
              <w:rPr>
                <w:sz w:val="10"/>
                <w:lang w:val="en-US"/>
              </w:rPr>
            </w:pPr>
          </w:p>
          <w:p w14:paraId="3159D76F" w14:textId="77777777" w:rsidR="006A5577" w:rsidRPr="00835938" w:rsidRDefault="006A5577" w:rsidP="00C013B6">
            <w:pPr>
              <w:rPr>
                <w:b/>
                <w:sz w:val="20"/>
                <w:lang w:val="en-US"/>
              </w:rPr>
            </w:pPr>
            <w:r w:rsidRPr="00835938">
              <w:rPr>
                <w:b/>
                <w:color w:val="C00000"/>
                <w:sz w:val="24"/>
                <w:lang w:val="en-US"/>
              </w:rPr>
              <w:t>Certificate Terms</w:t>
            </w:r>
          </w:p>
          <w:p w14:paraId="5EAA97B0" w14:textId="071273BC" w:rsidR="00331F6A" w:rsidRPr="00835938" w:rsidRDefault="00331F6A" w:rsidP="00C013B6">
            <w:pPr>
              <w:rPr>
                <w:sz w:val="20"/>
                <w:lang w:val="en-US"/>
              </w:rPr>
            </w:pPr>
            <w:r w:rsidRPr="00835938">
              <w:rPr>
                <w:sz w:val="20"/>
                <w:lang w:val="en-US"/>
              </w:rPr>
              <w:t xml:space="preserve">Issuer: </w:t>
            </w:r>
            <w:r w:rsidR="008C0330">
              <w:rPr>
                <w:sz w:val="20"/>
                <w:lang w:val="en-US"/>
              </w:rPr>
              <w:t>UBS AG, Zurich</w:t>
            </w:r>
          </w:p>
          <w:p w14:paraId="518A1706" w14:textId="77777777" w:rsidR="00331F6A" w:rsidRPr="00835938" w:rsidRDefault="00FE7D32" w:rsidP="00C013B6">
            <w:pPr>
              <w:rPr>
                <w:sz w:val="20"/>
                <w:lang w:val="en-US"/>
              </w:rPr>
            </w:pPr>
            <w:r w:rsidRPr="00835938">
              <w:rPr>
                <w:sz w:val="20"/>
                <w:lang w:val="en-US"/>
              </w:rPr>
              <w:t>Investment Manager</w:t>
            </w:r>
            <w:r w:rsidR="00331F6A" w:rsidRPr="00835938">
              <w:rPr>
                <w:sz w:val="20"/>
                <w:lang w:val="en-US"/>
              </w:rPr>
              <w:t>: Aspermont Capital AG</w:t>
            </w:r>
          </w:p>
          <w:p w14:paraId="39A22416" w14:textId="7ED15391" w:rsidR="00331F6A" w:rsidRPr="00835938" w:rsidRDefault="00331F6A" w:rsidP="00C013B6">
            <w:pPr>
              <w:rPr>
                <w:sz w:val="20"/>
                <w:lang w:val="en-US"/>
              </w:rPr>
            </w:pPr>
            <w:r w:rsidRPr="00835938">
              <w:rPr>
                <w:sz w:val="20"/>
                <w:lang w:val="en-US"/>
              </w:rPr>
              <w:t xml:space="preserve">ISIN: </w:t>
            </w:r>
            <w:r w:rsidR="008C0330">
              <w:rPr>
                <w:sz w:val="20"/>
                <w:lang w:val="en-US"/>
              </w:rPr>
              <w:t>CH0473592290</w:t>
            </w:r>
          </w:p>
          <w:p w14:paraId="1C4F30D8" w14:textId="77777777" w:rsidR="00331F6A" w:rsidRPr="00835938" w:rsidRDefault="00331F6A" w:rsidP="00C013B6">
            <w:pPr>
              <w:rPr>
                <w:sz w:val="20"/>
                <w:lang w:val="en-US"/>
              </w:rPr>
            </w:pPr>
            <w:r w:rsidRPr="00835938">
              <w:rPr>
                <w:sz w:val="20"/>
                <w:lang w:val="en-US"/>
              </w:rPr>
              <w:t>Profile: Tracker-Certificate (SVSP-Code: 1300)</w:t>
            </w:r>
          </w:p>
          <w:p w14:paraId="25118192" w14:textId="5A19E6A1" w:rsidR="006939B5" w:rsidRPr="00835938" w:rsidRDefault="006939B5" w:rsidP="008C0330">
            <w:pPr>
              <w:rPr>
                <w:sz w:val="20"/>
                <w:lang w:val="en-US"/>
              </w:rPr>
            </w:pPr>
            <w:r w:rsidRPr="00835938">
              <w:rPr>
                <w:sz w:val="20"/>
                <w:lang w:val="en-US"/>
              </w:rPr>
              <w:t xml:space="preserve">Launch date: </w:t>
            </w:r>
            <w:r w:rsidR="008C0330">
              <w:rPr>
                <w:sz w:val="20"/>
                <w:lang w:val="en-US"/>
              </w:rPr>
              <w:t>December 09</w:t>
            </w:r>
            <w:r w:rsidR="00FE7D32" w:rsidRPr="00835938">
              <w:rPr>
                <w:sz w:val="20"/>
                <w:lang w:val="en-US"/>
              </w:rPr>
              <w:t>,</w:t>
            </w:r>
            <w:r w:rsidR="00B77D68" w:rsidRPr="00835938">
              <w:rPr>
                <w:sz w:val="20"/>
                <w:lang w:val="en-US"/>
              </w:rPr>
              <w:t xml:space="preserve"> 201</w:t>
            </w:r>
            <w:r w:rsidR="008C0330">
              <w:rPr>
                <w:sz w:val="20"/>
                <w:lang w:val="en-US"/>
              </w:rPr>
              <w:t>9</w:t>
            </w:r>
          </w:p>
        </w:tc>
        <w:tc>
          <w:tcPr>
            <w:tcW w:w="4947" w:type="dxa"/>
            <w:tcBorders>
              <w:top w:val="nil"/>
              <w:left w:val="nil"/>
              <w:bottom w:val="nil"/>
              <w:right w:val="nil"/>
            </w:tcBorders>
            <w:shd w:val="clear" w:color="auto" w:fill="F2F2F2" w:themeFill="background1" w:themeFillShade="F2"/>
          </w:tcPr>
          <w:p w14:paraId="2BA4933C" w14:textId="5254B45F" w:rsidR="008E3503" w:rsidRPr="00835938" w:rsidRDefault="00E1240A" w:rsidP="00C013B6">
            <w:pPr>
              <w:rPr>
                <w:sz w:val="10"/>
                <w:lang w:val="en-US"/>
              </w:rPr>
            </w:pPr>
            <w:r>
              <w:rPr>
                <w:sz w:val="10"/>
                <w:lang w:val="en-US"/>
              </w:rPr>
              <w:t>..</w:t>
            </w:r>
          </w:p>
          <w:p w14:paraId="63B12C6D" w14:textId="77777777" w:rsidR="000B25A8" w:rsidRDefault="000B25A8" w:rsidP="00C013B6">
            <w:pPr>
              <w:rPr>
                <w:sz w:val="20"/>
                <w:lang w:val="en-US"/>
              </w:rPr>
            </w:pPr>
          </w:p>
          <w:p w14:paraId="1F024451" w14:textId="77777777" w:rsidR="00331F6A" w:rsidRPr="00835938" w:rsidRDefault="00331F6A" w:rsidP="00C013B6">
            <w:pPr>
              <w:rPr>
                <w:sz w:val="20"/>
                <w:lang w:val="en-US"/>
              </w:rPr>
            </w:pPr>
            <w:r w:rsidRPr="00835938">
              <w:rPr>
                <w:sz w:val="20"/>
                <w:lang w:val="en-US"/>
              </w:rPr>
              <w:t>Currency: EUR</w:t>
            </w:r>
          </w:p>
          <w:p w14:paraId="35038E6D" w14:textId="77777777" w:rsidR="00331F6A" w:rsidRPr="00835938" w:rsidRDefault="00331F6A" w:rsidP="00C013B6">
            <w:pPr>
              <w:rPr>
                <w:sz w:val="20"/>
                <w:lang w:val="en-US"/>
              </w:rPr>
            </w:pPr>
            <w:r w:rsidRPr="00835938">
              <w:rPr>
                <w:sz w:val="20"/>
                <w:lang w:val="en-US"/>
              </w:rPr>
              <w:t>Denomination: EUR 100</w:t>
            </w:r>
            <w:r w:rsidR="00FE7D32" w:rsidRPr="00835938">
              <w:rPr>
                <w:sz w:val="20"/>
                <w:lang w:val="en-US"/>
              </w:rPr>
              <w:t>0</w:t>
            </w:r>
            <w:r w:rsidRPr="00835938">
              <w:rPr>
                <w:sz w:val="20"/>
                <w:lang w:val="en-US"/>
              </w:rPr>
              <w:t xml:space="preserve"> per Unit</w:t>
            </w:r>
          </w:p>
          <w:p w14:paraId="647BAB82" w14:textId="1053C8D9" w:rsidR="00331F6A" w:rsidRPr="00835938" w:rsidRDefault="00331F6A" w:rsidP="00C013B6">
            <w:pPr>
              <w:rPr>
                <w:sz w:val="20"/>
                <w:lang w:val="en-US"/>
              </w:rPr>
            </w:pPr>
            <w:r w:rsidRPr="00835938">
              <w:rPr>
                <w:sz w:val="20"/>
                <w:lang w:val="en-US"/>
              </w:rPr>
              <w:t>Maturity</w:t>
            </w:r>
            <w:r w:rsidR="00FE7D32" w:rsidRPr="00835938">
              <w:rPr>
                <w:sz w:val="20"/>
                <w:lang w:val="en-US"/>
              </w:rPr>
              <w:t xml:space="preserve"> date</w:t>
            </w:r>
            <w:r w:rsidRPr="00835938">
              <w:rPr>
                <w:sz w:val="20"/>
                <w:lang w:val="en-US"/>
              </w:rPr>
              <w:t xml:space="preserve">: </w:t>
            </w:r>
            <w:r w:rsidR="008C0330">
              <w:rPr>
                <w:sz w:val="20"/>
                <w:lang w:val="en-US"/>
              </w:rPr>
              <w:t>December 09, 2026</w:t>
            </w:r>
          </w:p>
          <w:p w14:paraId="776F981A" w14:textId="77777777" w:rsidR="00331F6A" w:rsidRPr="00835938" w:rsidRDefault="00331F6A" w:rsidP="00C013B6">
            <w:pPr>
              <w:rPr>
                <w:sz w:val="20"/>
                <w:lang w:val="en-US"/>
              </w:rPr>
            </w:pPr>
            <w:r w:rsidRPr="00835938">
              <w:rPr>
                <w:sz w:val="20"/>
                <w:lang w:val="en-US"/>
              </w:rPr>
              <w:t xml:space="preserve">Listing: </w:t>
            </w:r>
            <w:r w:rsidR="00FE7D32" w:rsidRPr="00835938">
              <w:rPr>
                <w:sz w:val="20"/>
                <w:lang w:val="en-US"/>
              </w:rPr>
              <w:t>None</w:t>
            </w:r>
          </w:p>
          <w:p w14:paraId="0F2B23A5" w14:textId="7FA210B0" w:rsidR="00331F6A" w:rsidRPr="00835938" w:rsidRDefault="00DF6246" w:rsidP="00C013B6">
            <w:pPr>
              <w:rPr>
                <w:sz w:val="20"/>
                <w:lang w:val="en-US"/>
              </w:rPr>
            </w:pPr>
            <w:r>
              <w:rPr>
                <w:sz w:val="20"/>
                <w:lang w:val="en-US"/>
              </w:rPr>
              <w:t>(Original launch October 20, 2014)</w:t>
            </w:r>
          </w:p>
        </w:tc>
      </w:tr>
    </w:tbl>
    <w:p w14:paraId="05760F93" w14:textId="1EAFFB31" w:rsidR="00151D41" w:rsidRPr="00835938" w:rsidRDefault="00151D41" w:rsidP="005C3A13">
      <w:pPr>
        <w:rPr>
          <w:lang w:val="en-US"/>
        </w:rPr>
      </w:pPr>
    </w:p>
    <w:sectPr w:rsidR="00151D41" w:rsidRPr="00835938" w:rsidSect="0031340A">
      <w:headerReference w:type="even" r:id="rId11"/>
      <w:headerReference w:type="default" r:id="rId12"/>
      <w:footerReference w:type="even" r:id="rId13"/>
      <w:footerReference w:type="default" r:id="rId14"/>
      <w:headerReference w:type="first" r:id="rId15"/>
      <w:footerReference w:type="first" r:id="rId16"/>
      <w:pgSz w:w="11906" w:h="16838"/>
      <w:pgMar w:top="567" w:right="1418" w:bottom="1134" w:left="1418"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CB30" w14:textId="77777777" w:rsidR="00C67023" w:rsidRDefault="00C67023" w:rsidP="00437B29">
      <w:pPr>
        <w:spacing w:after="0" w:line="240" w:lineRule="auto"/>
      </w:pPr>
      <w:r>
        <w:separator/>
      </w:r>
    </w:p>
  </w:endnote>
  <w:endnote w:type="continuationSeparator" w:id="0">
    <w:p w14:paraId="296D01E3" w14:textId="77777777" w:rsidR="00C67023" w:rsidRDefault="00C67023" w:rsidP="0043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8E54" w14:textId="77777777" w:rsidR="0031340A" w:rsidRDefault="00313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84E6" w14:textId="77777777" w:rsidR="0031340A" w:rsidRPr="0060595D" w:rsidRDefault="0031340A" w:rsidP="0031340A">
    <w:pPr>
      <w:spacing w:after="0"/>
      <w:rPr>
        <w:b/>
        <w:bCs/>
        <w:sz w:val="12"/>
        <w:szCs w:val="12"/>
        <w:lang w:val="en-GB"/>
      </w:rPr>
    </w:pPr>
    <w:bookmarkStart w:id="0" w:name="_Hlk198806462"/>
    <w:bookmarkStart w:id="1" w:name="_Hlk198806463"/>
    <w:bookmarkStart w:id="2" w:name="_Hlk198806573"/>
    <w:bookmarkStart w:id="3" w:name="_Hlk198806574"/>
    <w:bookmarkStart w:id="4" w:name="_Hlk198807306"/>
    <w:bookmarkStart w:id="5" w:name="_Hlk198807307"/>
    <w:bookmarkStart w:id="6" w:name="_Hlk198807512"/>
    <w:bookmarkStart w:id="7" w:name="_Hlk198807513"/>
    <w:bookmarkStart w:id="8" w:name="_Hlk198807798"/>
    <w:bookmarkStart w:id="9" w:name="_Hlk198807799"/>
    <w:bookmarkStart w:id="10" w:name="_Hlk198807821"/>
    <w:bookmarkStart w:id="11" w:name="_Hlk198807822"/>
    <w:bookmarkStart w:id="12" w:name="_Hlk198807999"/>
    <w:bookmarkStart w:id="13" w:name="_Hlk198808000"/>
    <w:bookmarkStart w:id="14" w:name="_Hlk198812556"/>
    <w:bookmarkStart w:id="15" w:name="_Hlk198812557"/>
    <w:bookmarkStart w:id="16" w:name="_Hlk198812564"/>
    <w:bookmarkStart w:id="17" w:name="_Hlk198812565"/>
    <w:r w:rsidRPr="0060595D">
      <w:rPr>
        <w:b/>
        <w:bCs/>
        <w:sz w:val="12"/>
        <w:szCs w:val="12"/>
        <w:lang w:val="en-GB"/>
      </w:rPr>
      <w:t>Disclaimer:</w:t>
    </w:r>
  </w:p>
  <w:p w14:paraId="045E31D7" w14:textId="77777777" w:rsidR="0031340A" w:rsidRPr="0060595D" w:rsidRDefault="0031340A" w:rsidP="0031340A">
    <w:pPr>
      <w:spacing w:after="0"/>
      <w:rPr>
        <w:sz w:val="12"/>
        <w:szCs w:val="12"/>
        <w:lang w:val="en-GB"/>
      </w:rPr>
    </w:pPr>
    <w:r w:rsidRPr="0060595D">
      <w:rPr>
        <w:sz w:val="12"/>
        <w:szCs w:val="12"/>
        <w:lang w:val="en-GB"/>
      </w:rPr>
      <w:t xml:space="preserve">This document constitutes advertising within the meaning of article 68 of the </w:t>
    </w:r>
    <w:proofErr w:type="spellStart"/>
    <w:r w:rsidRPr="0060595D">
      <w:rPr>
        <w:sz w:val="12"/>
        <w:szCs w:val="12"/>
        <w:lang w:val="en-GB"/>
      </w:rPr>
      <w:t>FinSA</w:t>
    </w:r>
    <w:proofErr w:type="spellEnd"/>
    <w:r w:rsidRPr="0060595D">
      <w:rPr>
        <w:sz w:val="12"/>
        <w:szCs w:val="12"/>
        <w:lang w:val="en-GB"/>
      </w:rPr>
      <w:t xml:space="preserve"> and is intended for information only and for personal use. This document is intended only for professional respectively qualified investors and not for private investors.  </w:t>
    </w:r>
  </w:p>
  <w:p w14:paraId="2CAAC71E" w14:textId="77777777" w:rsidR="0031340A" w:rsidRPr="0060595D" w:rsidRDefault="0031340A" w:rsidP="0031340A">
    <w:pPr>
      <w:spacing w:after="0"/>
      <w:rPr>
        <w:sz w:val="12"/>
        <w:szCs w:val="12"/>
        <w:lang w:val="en-GB"/>
      </w:rPr>
    </w:pPr>
    <w:r w:rsidRPr="0060595D">
      <w:rPr>
        <w:sz w:val="12"/>
        <w:szCs w:val="12"/>
        <w:lang w:val="en-GB"/>
      </w:rPr>
      <w:t> </w:t>
    </w:r>
    <w:r w:rsidRPr="0060595D">
      <w:rPr>
        <w:b/>
        <w:bCs/>
        <w:sz w:val="12"/>
        <w:szCs w:val="12"/>
        <w:lang w:val="en-GB"/>
      </w:rPr>
      <w:t>Structured Products</w:t>
    </w:r>
    <w:r w:rsidRPr="0060595D">
      <w:rPr>
        <w:sz w:val="12"/>
        <w:szCs w:val="12"/>
        <w:lang w:val="en-GB"/>
      </w:rPr>
      <w:t>: The financial products in this document do not qualify as units of a collective investment scheme in the meaning of Article 7 et seqq. of the Swiss Federal Act on Collective Investment Schemes (CISA) and are therefore neither supervised by the Swiss Financial Market Supervisory Authority (FINMA) nor registered with FINMA. Investors do not benefit from the specific investor protection provided under CISA. </w:t>
    </w:r>
  </w:p>
  <w:p w14:paraId="2EA5A4B7" w14:textId="77777777" w:rsidR="0031340A" w:rsidRPr="0060595D" w:rsidRDefault="0031340A" w:rsidP="0031340A">
    <w:pPr>
      <w:rPr>
        <w:sz w:val="12"/>
        <w:szCs w:val="12"/>
        <w:lang w:val="en-GB"/>
      </w:rPr>
    </w:pPr>
    <w:r w:rsidRPr="0060595D">
      <w:rPr>
        <w:sz w:val="12"/>
        <w:szCs w:val="12"/>
        <w:lang w:val="en-GB"/>
      </w:rPr>
      <w:t xml:space="preserve">No action has been or will be taken to permit a public offering of the financial products or possession or distribution of any offering material in relation to the financial products in any jurisdiction, where such action for that purpose is required. The most important jurisdictions where the financial products may not be publicly distributed are EEA, UK, Hong Kong and Singapore. The financial products may not be offered or sold within the USA, or to or for the account or benefit of US persons (as defined in Regulation S). It does not constitute a public offering, an offer to sell or a solicitation to buy any financial instruments and it is not research. It is not intended to form investment, legal or tax advice and should not be used as the basis for investment decisions. Before making an investment decision, you should obtain professional advice. Past performance is no indicator or guarantee of the future performance of a financial instrument. Individual services and products are subject to legal restrictions in certain countries. They may therefore not be offered throughout the world without restriction. All information is made without warranty to its currency, accuracy, or completeness. Aspermont Capital AG reserves the right to alter its services, products or prices at any time without prior notice. Aspermont Capital AG rejects </w:t>
    </w:r>
    <w:proofErr w:type="gramStart"/>
    <w:r w:rsidRPr="0060595D">
      <w:rPr>
        <w:sz w:val="12"/>
        <w:szCs w:val="12"/>
        <w:lang w:val="en-GB"/>
      </w:rPr>
      <w:t>any and all</w:t>
    </w:r>
    <w:proofErr w:type="gramEnd"/>
    <w:r w:rsidRPr="0060595D">
      <w:rPr>
        <w:sz w:val="12"/>
        <w:szCs w:val="12"/>
        <w:lang w:val="en-GB"/>
      </w:rPr>
      <w:t xml:space="preserve"> liability for incorrect or incomplete information. No responsibility is assumed in case of unsolicited delivery. Complete or partial reproduction without the express consent of Aspermont Capital AG is not permitted. </w:t>
    </w:r>
  </w:p>
  <w:p w14:paraId="4DDAC843" w14:textId="7FA7116E" w:rsidR="00A9207C" w:rsidRPr="0031340A" w:rsidRDefault="0031340A" w:rsidP="0031340A">
    <w:pPr>
      <w:rPr>
        <w:sz w:val="12"/>
        <w:szCs w:val="12"/>
        <w:lang w:val="en-GB"/>
      </w:rPr>
    </w:pPr>
    <w:r w:rsidRPr="0060595D">
      <w:rPr>
        <w:sz w:val="12"/>
        <w:szCs w:val="12"/>
        <w:lang w:val="en-GB"/>
      </w:rPr>
      <w:t xml:space="preserve">The relevant product documentation of the financial products can be obtained directly at Aspermont Capital AG, </w:t>
    </w:r>
    <w:proofErr w:type="spellStart"/>
    <w:r w:rsidRPr="0060595D">
      <w:rPr>
        <w:sz w:val="12"/>
        <w:szCs w:val="12"/>
        <w:lang w:val="en-GB"/>
      </w:rPr>
      <w:t>Loewenstrasse</w:t>
    </w:r>
    <w:proofErr w:type="spellEnd"/>
    <w:r w:rsidRPr="0060595D">
      <w:rPr>
        <w:sz w:val="12"/>
        <w:szCs w:val="12"/>
        <w:lang w:val="en-GB"/>
      </w:rPr>
      <w:t xml:space="preserve"> 66, CH-8001 Zurich, via telephone +41 43 888 66 44 or via email </w:t>
    </w:r>
    <w:hyperlink r:id="rId1" w:history="1">
      <w:r w:rsidRPr="0060595D">
        <w:rPr>
          <w:rStyle w:val="Hyperlink"/>
          <w:sz w:val="12"/>
          <w:szCs w:val="12"/>
          <w:lang w:val="en-GB"/>
        </w:rPr>
        <w:t>info@ascap.ch</w:t>
      </w:r>
    </w:hyperlink>
    <w:r w:rsidRPr="0060595D">
      <w:rPr>
        <w:sz w:val="12"/>
        <w:szCs w:val="12"/>
        <w:lang w:val="en-GB"/>
      </w:rPr>
      <w:t xml:space="preserve"> . </w:t>
    </w:r>
    <w:r>
      <w:rPr>
        <w:sz w:val="12"/>
        <w:szCs w:val="12"/>
        <w:lang w:val="en-GB"/>
      </w:rPr>
      <w:t xml:space="preserve"> </w:t>
    </w:r>
    <w:r w:rsidRPr="0060595D">
      <w:rPr>
        <w:sz w:val="12"/>
        <w:szCs w:val="12"/>
        <w:lang w:val="en-GB"/>
      </w:rPr>
      <w:t>© Aspermont Capital AG 202</w:t>
    </w:r>
    <w:r>
      <w:rPr>
        <w:sz w:val="12"/>
        <w:szCs w:val="12"/>
        <w:lang w:val="en-GB"/>
      </w:rPr>
      <w:t>5</w:t>
    </w:r>
    <w:r w:rsidRPr="0060595D">
      <w:rPr>
        <w:sz w:val="12"/>
        <w:szCs w:val="12"/>
        <w:lang w:val="en-GB"/>
      </w:rPr>
      <w:t>. All rights reserved.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FABC" w14:textId="77777777" w:rsidR="0031340A" w:rsidRDefault="00313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F3C0" w14:textId="77777777" w:rsidR="00C67023" w:rsidRDefault="00C67023" w:rsidP="00437B29">
      <w:pPr>
        <w:spacing w:after="0" w:line="240" w:lineRule="auto"/>
      </w:pPr>
      <w:r>
        <w:separator/>
      </w:r>
    </w:p>
  </w:footnote>
  <w:footnote w:type="continuationSeparator" w:id="0">
    <w:p w14:paraId="11109AEA" w14:textId="77777777" w:rsidR="00C67023" w:rsidRDefault="00C67023" w:rsidP="0043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2181" w14:textId="77777777" w:rsidR="0031340A" w:rsidRDefault="00313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90B1" w14:textId="77777777" w:rsidR="00B44F4A" w:rsidRDefault="00B44F4A">
    <w:pPr>
      <w:pStyle w:val="Header"/>
    </w:pPr>
    <w:r>
      <w:tab/>
    </w:r>
    <w:r>
      <w:tab/>
    </w:r>
    <w:r w:rsidRPr="00437B29">
      <w:rPr>
        <w:noProof/>
        <w:lang w:val="de-CH" w:eastAsia="de-CH"/>
      </w:rPr>
      <w:drawing>
        <wp:inline distT="0" distB="0" distL="0" distR="0" wp14:anchorId="00B60BFF" wp14:editId="62F6F579">
          <wp:extent cx="1314450" cy="209550"/>
          <wp:effectExtent l="19050" t="0" r="0" b="0"/>
          <wp:docPr id="2" name="Picture 1" descr="Aspermont-FinServ_RGB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ermont-FinServ_RGB_L"/>
                  <pic:cNvPicPr>
                    <a:picLocks noChangeAspect="1" noChangeArrowheads="1"/>
                  </pic:cNvPicPr>
                </pic:nvPicPr>
                <pic:blipFill>
                  <a:blip r:embed="rId1"/>
                  <a:srcRect/>
                  <a:stretch>
                    <a:fillRect/>
                  </a:stretch>
                </pic:blipFill>
                <pic:spPr bwMode="auto">
                  <a:xfrm>
                    <a:off x="0" y="0"/>
                    <a:ext cx="1314450" cy="2095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5F6D" w14:textId="77777777" w:rsidR="0031340A" w:rsidRDefault="003134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3MDCzNLY0MTOysDRT0lEKTi0uzszPAykwrAUA5dAFZywAAAA="/>
  </w:docVars>
  <w:rsids>
    <w:rsidRoot w:val="00437B29"/>
    <w:rsid w:val="00001D80"/>
    <w:rsid w:val="00003EED"/>
    <w:rsid w:val="00004613"/>
    <w:rsid w:val="00006D58"/>
    <w:rsid w:val="00007B82"/>
    <w:rsid w:val="00007D23"/>
    <w:rsid w:val="00007DDD"/>
    <w:rsid w:val="00010425"/>
    <w:rsid w:val="000110D3"/>
    <w:rsid w:val="00013FFF"/>
    <w:rsid w:val="00014196"/>
    <w:rsid w:val="0001436B"/>
    <w:rsid w:val="00014A55"/>
    <w:rsid w:val="00016181"/>
    <w:rsid w:val="0001747D"/>
    <w:rsid w:val="000225C9"/>
    <w:rsid w:val="00022CE4"/>
    <w:rsid w:val="00024A46"/>
    <w:rsid w:val="00024F63"/>
    <w:rsid w:val="00024F7A"/>
    <w:rsid w:val="00025172"/>
    <w:rsid w:val="000251EC"/>
    <w:rsid w:val="000252DD"/>
    <w:rsid w:val="00030791"/>
    <w:rsid w:val="00032463"/>
    <w:rsid w:val="00033C4B"/>
    <w:rsid w:val="00034B08"/>
    <w:rsid w:val="00034E0F"/>
    <w:rsid w:val="000369ED"/>
    <w:rsid w:val="00036EFD"/>
    <w:rsid w:val="0003790E"/>
    <w:rsid w:val="00040C23"/>
    <w:rsid w:val="00041D97"/>
    <w:rsid w:val="00054942"/>
    <w:rsid w:val="000559CF"/>
    <w:rsid w:val="00056994"/>
    <w:rsid w:val="000573E2"/>
    <w:rsid w:val="0005783C"/>
    <w:rsid w:val="000608CB"/>
    <w:rsid w:val="000609BF"/>
    <w:rsid w:val="00063AF1"/>
    <w:rsid w:val="00065742"/>
    <w:rsid w:val="000724BE"/>
    <w:rsid w:val="00072DB9"/>
    <w:rsid w:val="00073CF5"/>
    <w:rsid w:val="00080EF4"/>
    <w:rsid w:val="000817D6"/>
    <w:rsid w:val="00082AAD"/>
    <w:rsid w:val="00082DC9"/>
    <w:rsid w:val="0008471A"/>
    <w:rsid w:val="00084BB9"/>
    <w:rsid w:val="000864EB"/>
    <w:rsid w:val="00087EFC"/>
    <w:rsid w:val="000906AE"/>
    <w:rsid w:val="00091112"/>
    <w:rsid w:val="000916D9"/>
    <w:rsid w:val="000931B3"/>
    <w:rsid w:val="0009445B"/>
    <w:rsid w:val="000944DF"/>
    <w:rsid w:val="00094798"/>
    <w:rsid w:val="00094ED5"/>
    <w:rsid w:val="000957C8"/>
    <w:rsid w:val="000962E0"/>
    <w:rsid w:val="0009796D"/>
    <w:rsid w:val="000A0072"/>
    <w:rsid w:val="000A0A96"/>
    <w:rsid w:val="000A1293"/>
    <w:rsid w:val="000A1431"/>
    <w:rsid w:val="000A2AE4"/>
    <w:rsid w:val="000A4D43"/>
    <w:rsid w:val="000A696E"/>
    <w:rsid w:val="000A7FDE"/>
    <w:rsid w:val="000B25A8"/>
    <w:rsid w:val="000B336A"/>
    <w:rsid w:val="000B3D39"/>
    <w:rsid w:val="000B4637"/>
    <w:rsid w:val="000B5120"/>
    <w:rsid w:val="000B6C80"/>
    <w:rsid w:val="000B6E1F"/>
    <w:rsid w:val="000B74C9"/>
    <w:rsid w:val="000B7B5D"/>
    <w:rsid w:val="000C4616"/>
    <w:rsid w:val="000C6B56"/>
    <w:rsid w:val="000C7220"/>
    <w:rsid w:val="000C7AF6"/>
    <w:rsid w:val="000D0C53"/>
    <w:rsid w:val="000D26E3"/>
    <w:rsid w:val="000D2798"/>
    <w:rsid w:val="000D3472"/>
    <w:rsid w:val="000D53B3"/>
    <w:rsid w:val="000D6637"/>
    <w:rsid w:val="000D7029"/>
    <w:rsid w:val="000E015F"/>
    <w:rsid w:val="000E3426"/>
    <w:rsid w:val="000E4FF8"/>
    <w:rsid w:val="000E6371"/>
    <w:rsid w:val="000E68BE"/>
    <w:rsid w:val="000F108B"/>
    <w:rsid w:val="000F1AD3"/>
    <w:rsid w:val="000F4835"/>
    <w:rsid w:val="000F48E0"/>
    <w:rsid w:val="000F4E9F"/>
    <w:rsid w:val="000F5C63"/>
    <w:rsid w:val="000F6AF0"/>
    <w:rsid w:val="001015FD"/>
    <w:rsid w:val="00102BA4"/>
    <w:rsid w:val="0010464E"/>
    <w:rsid w:val="001069EC"/>
    <w:rsid w:val="00107E0F"/>
    <w:rsid w:val="00110354"/>
    <w:rsid w:val="00111945"/>
    <w:rsid w:val="00111B3B"/>
    <w:rsid w:val="001120DC"/>
    <w:rsid w:val="001124E0"/>
    <w:rsid w:val="00114584"/>
    <w:rsid w:val="00116792"/>
    <w:rsid w:val="00121E8B"/>
    <w:rsid w:val="0012204D"/>
    <w:rsid w:val="00122700"/>
    <w:rsid w:val="00123B0B"/>
    <w:rsid w:val="0012403A"/>
    <w:rsid w:val="00125168"/>
    <w:rsid w:val="001258AF"/>
    <w:rsid w:val="00130C1C"/>
    <w:rsid w:val="001312FC"/>
    <w:rsid w:val="00132E83"/>
    <w:rsid w:val="00133BEC"/>
    <w:rsid w:val="00133BFD"/>
    <w:rsid w:val="00135171"/>
    <w:rsid w:val="00135C68"/>
    <w:rsid w:val="001408DB"/>
    <w:rsid w:val="00140C4D"/>
    <w:rsid w:val="001458F3"/>
    <w:rsid w:val="00146EDB"/>
    <w:rsid w:val="00147A97"/>
    <w:rsid w:val="00150331"/>
    <w:rsid w:val="00150469"/>
    <w:rsid w:val="00151866"/>
    <w:rsid w:val="00151D41"/>
    <w:rsid w:val="00153537"/>
    <w:rsid w:val="001536C9"/>
    <w:rsid w:val="001544BD"/>
    <w:rsid w:val="00155076"/>
    <w:rsid w:val="00155E5A"/>
    <w:rsid w:val="0015626D"/>
    <w:rsid w:val="001630FD"/>
    <w:rsid w:val="00163197"/>
    <w:rsid w:val="00173A63"/>
    <w:rsid w:val="001769F2"/>
    <w:rsid w:val="00181B45"/>
    <w:rsid w:val="00181BB8"/>
    <w:rsid w:val="00181F86"/>
    <w:rsid w:val="00183C78"/>
    <w:rsid w:val="00184ED7"/>
    <w:rsid w:val="00187215"/>
    <w:rsid w:val="0018795C"/>
    <w:rsid w:val="00191855"/>
    <w:rsid w:val="001927EC"/>
    <w:rsid w:val="00194B3F"/>
    <w:rsid w:val="00196731"/>
    <w:rsid w:val="001A1D0D"/>
    <w:rsid w:val="001A2444"/>
    <w:rsid w:val="001A3354"/>
    <w:rsid w:val="001A3B34"/>
    <w:rsid w:val="001A6557"/>
    <w:rsid w:val="001B024B"/>
    <w:rsid w:val="001B1F78"/>
    <w:rsid w:val="001B66BB"/>
    <w:rsid w:val="001B7509"/>
    <w:rsid w:val="001C204E"/>
    <w:rsid w:val="001C4661"/>
    <w:rsid w:val="001C4EBB"/>
    <w:rsid w:val="001C600B"/>
    <w:rsid w:val="001C61C7"/>
    <w:rsid w:val="001C63AE"/>
    <w:rsid w:val="001D40F2"/>
    <w:rsid w:val="001E0BCF"/>
    <w:rsid w:val="001E10BA"/>
    <w:rsid w:val="001E3EC3"/>
    <w:rsid w:val="001E6282"/>
    <w:rsid w:val="001E7B4D"/>
    <w:rsid w:val="001E7B84"/>
    <w:rsid w:val="001F0D5E"/>
    <w:rsid w:val="001F1DF5"/>
    <w:rsid w:val="001F2705"/>
    <w:rsid w:val="001F30DB"/>
    <w:rsid w:val="001F37C1"/>
    <w:rsid w:val="001F4235"/>
    <w:rsid w:val="001F7523"/>
    <w:rsid w:val="002010F5"/>
    <w:rsid w:val="00201F19"/>
    <w:rsid w:val="002046BC"/>
    <w:rsid w:val="00204FB6"/>
    <w:rsid w:val="00205228"/>
    <w:rsid w:val="00207F32"/>
    <w:rsid w:val="002100F1"/>
    <w:rsid w:val="00210B89"/>
    <w:rsid w:val="002124A1"/>
    <w:rsid w:val="002138C5"/>
    <w:rsid w:val="002138C6"/>
    <w:rsid w:val="00213C82"/>
    <w:rsid w:val="002166D2"/>
    <w:rsid w:val="002233E1"/>
    <w:rsid w:val="00225832"/>
    <w:rsid w:val="00230885"/>
    <w:rsid w:val="00232B3C"/>
    <w:rsid w:val="00233A9E"/>
    <w:rsid w:val="00235E33"/>
    <w:rsid w:val="002363C5"/>
    <w:rsid w:val="00236AD2"/>
    <w:rsid w:val="00240775"/>
    <w:rsid w:val="00241376"/>
    <w:rsid w:val="00242F21"/>
    <w:rsid w:val="00243D2E"/>
    <w:rsid w:val="00243F7E"/>
    <w:rsid w:val="00245402"/>
    <w:rsid w:val="00246404"/>
    <w:rsid w:val="002468BD"/>
    <w:rsid w:val="00250CBC"/>
    <w:rsid w:val="00251AEB"/>
    <w:rsid w:val="0025217D"/>
    <w:rsid w:val="00253EE2"/>
    <w:rsid w:val="0025517A"/>
    <w:rsid w:val="00255ABF"/>
    <w:rsid w:val="00255AC1"/>
    <w:rsid w:val="002570C7"/>
    <w:rsid w:val="00257885"/>
    <w:rsid w:val="00257D49"/>
    <w:rsid w:val="00260610"/>
    <w:rsid w:val="0026271B"/>
    <w:rsid w:val="002645AF"/>
    <w:rsid w:val="00266B55"/>
    <w:rsid w:val="00267D81"/>
    <w:rsid w:val="002707DD"/>
    <w:rsid w:val="002708BE"/>
    <w:rsid w:val="00271153"/>
    <w:rsid w:val="002722B0"/>
    <w:rsid w:val="002722B8"/>
    <w:rsid w:val="002733EC"/>
    <w:rsid w:val="00273CDA"/>
    <w:rsid w:val="00273E2E"/>
    <w:rsid w:val="002800EB"/>
    <w:rsid w:val="00281A40"/>
    <w:rsid w:val="00281F11"/>
    <w:rsid w:val="00282237"/>
    <w:rsid w:val="00283A91"/>
    <w:rsid w:val="002845B0"/>
    <w:rsid w:val="00287006"/>
    <w:rsid w:val="00287689"/>
    <w:rsid w:val="002917E5"/>
    <w:rsid w:val="00291F2C"/>
    <w:rsid w:val="002920C3"/>
    <w:rsid w:val="002923E3"/>
    <w:rsid w:val="002964CD"/>
    <w:rsid w:val="002977ED"/>
    <w:rsid w:val="002978D8"/>
    <w:rsid w:val="002A2476"/>
    <w:rsid w:val="002A2F6A"/>
    <w:rsid w:val="002A4819"/>
    <w:rsid w:val="002A4C48"/>
    <w:rsid w:val="002B0F66"/>
    <w:rsid w:val="002B15F6"/>
    <w:rsid w:val="002B5811"/>
    <w:rsid w:val="002B5F69"/>
    <w:rsid w:val="002B6D0A"/>
    <w:rsid w:val="002B7346"/>
    <w:rsid w:val="002B7554"/>
    <w:rsid w:val="002B7979"/>
    <w:rsid w:val="002C0607"/>
    <w:rsid w:val="002C0B05"/>
    <w:rsid w:val="002C100B"/>
    <w:rsid w:val="002C14A5"/>
    <w:rsid w:val="002C555C"/>
    <w:rsid w:val="002C6793"/>
    <w:rsid w:val="002C7111"/>
    <w:rsid w:val="002C796D"/>
    <w:rsid w:val="002C7A91"/>
    <w:rsid w:val="002C7EF8"/>
    <w:rsid w:val="002D0CDC"/>
    <w:rsid w:val="002D40E3"/>
    <w:rsid w:val="002D51A5"/>
    <w:rsid w:val="002D53BB"/>
    <w:rsid w:val="002E0485"/>
    <w:rsid w:val="002E1476"/>
    <w:rsid w:val="002E19E1"/>
    <w:rsid w:val="002E4D41"/>
    <w:rsid w:val="002E7D6C"/>
    <w:rsid w:val="002F27A0"/>
    <w:rsid w:val="002F5B0D"/>
    <w:rsid w:val="002F620B"/>
    <w:rsid w:val="00300BC1"/>
    <w:rsid w:val="003046EB"/>
    <w:rsid w:val="00306B22"/>
    <w:rsid w:val="00306F09"/>
    <w:rsid w:val="00307431"/>
    <w:rsid w:val="00307464"/>
    <w:rsid w:val="00307EFF"/>
    <w:rsid w:val="00310EF2"/>
    <w:rsid w:val="00312E51"/>
    <w:rsid w:val="0031340A"/>
    <w:rsid w:val="00313650"/>
    <w:rsid w:val="00314212"/>
    <w:rsid w:val="00314DD9"/>
    <w:rsid w:val="00315358"/>
    <w:rsid w:val="00315CBA"/>
    <w:rsid w:val="00315DC6"/>
    <w:rsid w:val="003162FB"/>
    <w:rsid w:val="00317CEC"/>
    <w:rsid w:val="00321084"/>
    <w:rsid w:val="0032129B"/>
    <w:rsid w:val="00321D14"/>
    <w:rsid w:val="003227A9"/>
    <w:rsid w:val="00323CD7"/>
    <w:rsid w:val="0032617D"/>
    <w:rsid w:val="00326412"/>
    <w:rsid w:val="00327001"/>
    <w:rsid w:val="00331F6A"/>
    <w:rsid w:val="00332D7A"/>
    <w:rsid w:val="00333E99"/>
    <w:rsid w:val="00334DAD"/>
    <w:rsid w:val="00336797"/>
    <w:rsid w:val="00337A3C"/>
    <w:rsid w:val="00340BB1"/>
    <w:rsid w:val="00342208"/>
    <w:rsid w:val="003428E2"/>
    <w:rsid w:val="00342C49"/>
    <w:rsid w:val="00343604"/>
    <w:rsid w:val="00344192"/>
    <w:rsid w:val="0034533F"/>
    <w:rsid w:val="00345615"/>
    <w:rsid w:val="00346B7B"/>
    <w:rsid w:val="00347569"/>
    <w:rsid w:val="003502F6"/>
    <w:rsid w:val="003519A9"/>
    <w:rsid w:val="00352D30"/>
    <w:rsid w:val="00352F7D"/>
    <w:rsid w:val="003541F2"/>
    <w:rsid w:val="00356D0A"/>
    <w:rsid w:val="003607EA"/>
    <w:rsid w:val="00362E58"/>
    <w:rsid w:val="003656BA"/>
    <w:rsid w:val="003665FD"/>
    <w:rsid w:val="0036661E"/>
    <w:rsid w:val="00366FBB"/>
    <w:rsid w:val="0036718D"/>
    <w:rsid w:val="0036768F"/>
    <w:rsid w:val="00375B77"/>
    <w:rsid w:val="00375E83"/>
    <w:rsid w:val="00377901"/>
    <w:rsid w:val="00380B7E"/>
    <w:rsid w:val="00383532"/>
    <w:rsid w:val="003850A2"/>
    <w:rsid w:val="0038516F"/>
    <w:rsid w:val="003873F8"/>
    <w:rsid w:val="00387AD9"/>
    <w:rsid w:val="003908E6"/>
    <w:rsid w:val="00393F88"/>
    <w:rsid w:val="00394CDA"/>
    <w:rsid w:val="00396B1C"/>
    <w:rsid w:val="003A1025"/>
    <w:rsid w:val="003A3B7D"/>
    <w:rsid w:val="003A42E1"/>
    <w:rsid w:val="003A5AF9"/>
    <w:rsid w:val="003A630E"/>
    <w:rsid w:val="003A77D5"/>
    <w:rsid w:val="003A7A2C"/>
    <w:rsid w:val="003B0C36"/>
    <w:rsid w:val="003B0E59"/>
    <w:rsid w:val="003B1A91"/>
    <w:rsid w:val="003B4057"/>
    <w:rsid w:val="003B4AF1"/>
    <w:rsid w:val="003B5B04"/>
    <w:rsid w:val="003B5E7F"/>
    <w:rsid w:val="003C30AD"/>
    <w:rsid w:val="003C4105"/>
    <w:rsid w:val="003C5C3F"/>
    <w:rsid w:val="003D230E"/>
    <w:rsid w:val="003D4215"/>
    <w:rsid w:val="003D5E80"/>
    <w:rsid w:val="003D6997"/>
    <w:rsid w:val="003D6F1D"/>
    <w:rsid w:val="003D78C9"/>
    <w:rsid w:val="003E0321"/>
    <w:rsid w:val="003E2ED9"/>
    <w:rsid w:val="003E4C69"/>
    <w:rsid w:val="003F152C"/>
    <w:rsid w:val="003F2DDB"/>
    <w:rsid w:val="003F4F14"/>
    <w:rsid w:val="003F69F3"/>
    <w:rsid w:val="003F7D96"/>
    <w:rsid w:val="004012E2"/>
    <w:rsid w:val="004017E3"/>
    <w:rsid w:val="00403EAD"/>
    <w:rsid w:val="00404E04"/>
    <w:rsid w:val="00405738"/>
    <w:rsid w:val="00406285"/>
    <w:rsid w:val="00410443"/>
    <w:rsid w:val="00411E34"/>
    <w:rsid w:val="00411EBE"/>
    <w:rsid w:val="004127C9"/>
    <w:rsid w:val="00413E28"/>
    <w:rsid w:val="004143FB"/>
    <w:rsid w:val="004149B5"/>
    <w:rsid w:val="00415963"/>
    <w:rsid w:val="004204B9"/>
    <w:rsid w:val="00420DBD"/>
    <w:rsid w:val="00422DDA"/>
    <w:rsid w:val="00423AB4"/>
    <w:rsid w:val="00423AE4"/>
    <w:rsid w:val="00423DB3"/>
    <w:rsid w:val="00424404"/>
    <w:rsid w:val="00424540"/>
    <w:rsid w:val="00424A57"/>
    <w:rsid w:val="00425B16"/>
    <w:rsid w:val="00425E30"/>
    <w:rsid w:val="00427595"/>
    <w:rsid w:val="00431493"/>
    <w:rsid w:val="004319FB"/>
    <w:rsid w:val="004326D0"/>
    <w:rsid w:val="0043443E"/>
    <w:rsid w:val="00434557"/>
    <w:rsid w:val="00436B97"/>
    <w:rsid w:val="004372B2"/>
    <w:rsid w:val="00437B29"/>
    <w:rsid w:val="00440CF4"/>
    <w:rsid w:val="004427F3"/>
    <w:rsid w:val="00442CF2"/>
    <w:rsid w:val="00443F89"/>
    <w:rsid w:val="004462E6"/>
    <w:rsid w:val="004477AA"/>
    <w:rsid w:val="00447865"/>
    <w:rsid w:val="00447E2F"/>
    <w:rsid w:val="0045011F"/>
    <w:rsid w:val="0045045C"/>
    <w:rsid w:val="0045121A"/>
    <w:rsid w:val="0045375E"/>
    <w:rsid w:val="004552A4"/>
    <w:rsid w:val="004571AC"/>
    <w:rsid w:val="004571F7"/>
    <w:rsid w:val="00460739"/>
    <w:rsid w:val="00462A6B"/>
    <w:rsid w:val="004635FC"/>
    <w:rsid w:val="00466078"/>
    <w:rsid w:val="00466620"/>
    <w:rsid w:val="004668DC"/>
    <w:rsid w:val="00467E20"/>
    <w:rsid w:val="004716D3"/>
    <w:rsid w:val="00472A15"/>
    <w:rsid w:val="00473814"/>
    <w:rsid w:val="00474A33"/>
    <w:rsid w:val="0047524D"/>
    <w:rsid w:val="0048036A"/>
    <w:rsid w:val="004804F3"/>
    <w:rsid w:val="00480B1F"/>
    <w:rsid w:val="00480BA9"/>
    <w:rsid w:val="00480FA7"/>
    <w:rsid w:val="0048249B"/>
    <w:rsid w:val="0048284C"/>
    <w:rsid w:val="00482B67"/>
    <w:rsid w:val="00482FE9"/>
    <w:rsid w:val="004843E4"/>
    <w:rsid w:val="00484FB6"/>
    <w:rsid w:val="004853C9"/>
    <w:rsid w:val="00485814"/>
    <w:rsid w:val="00485BE9"/>
    <w:rsid w:val="00486162"/>
    <w:rsid w:val="00490AB3"/>
    <w:rsid w:val="0049121F"/>
    <w:rsid w:val="004920E9"/>
    <w:rsid w:val="004929DE"/>
    <w:rsid w:val="004956DD"/>
    <w:rsid w:val="004A1D09"/>
    <w:rsid w:val="004A2BE4"/>
    <w:rsid w:val="004A3C9B"/>
    <w:rsid w:val="004A44DA"/>
    <w:rsid w:val="004A4B06"/>
    <w:rsid w:val="004A50EB"/>
    <w:rsid w:val="004A5471"/>
    <w:rsid w:val="004B08BE"/>
    <w:rsid w:val="004B163F"/>
    <w:rsid w:val="004B1BEB"/>
    <w:rsid w:val="004B212D"/>
    <w:rsid w:val="004B2AB4"/>
    <w:rsid w:val="004B3564"/>
    <w:rsid w:val="004B4706"/>
    <w:rsid w:val="004B5072"/>
    <w:rsid w:val="004B60B5"/>
    <w:rsid w:val="004B622D"/>
    <w:rsid w:val="004B6AA4"/>
    <w:rsid w:val="004B6FAC"/>
    <w:rsid w:val="004C18B2"/>
    <w:rsid w:val="004C3CD7"/>
    <w:rsid w:val="004C4F80"/>
    <w:rsid w:val="004C5E5D"/>
    <w:rsid w:val="004C7EDE"/>
    <w:rsid w:val="004D0E63"/>
    <w:rsid w:val="004D30AE"/>
    <w:rsid w:val="004D3771"/>
    <w:rsid w:val="004D3EFA"/>
    <w:rsid w:val="004D4605"/>
    <w:rsid w:val="004D46AF"/>
    <w:rsid w:val="004D4E2A"/>
    <w:rsid w:val="004D604D"/>
    <w:rsid w:val="004D7FC4"/>
    <w:rsid w:val="004E096C"/>
    <w:rsid w:val="004E1830"/>
    <w:rsid w:val="004E3AEC"/>
    <w:rsid w:val="004E4AEF"/>
    <w:rsid w:val="004E5A01"/>
    <w:rsid w:val="004F114D"/>
    <w:rsid w:val="004F1ABC"/>
    <w:rsid w:val="004F1E7A"/>
    <w:rsid w:val="004F2F2A"/>
    <w:rsid w:val="004F4897"/>
    <w:rsid w:val="00502E1E"/>
    <w:rsid w:val="0050521D"/>
    <w:rsid w:val="0050710B"/>
    <w:rsid w:val="005110EC"/>
    <w:rsid w:val="00511437"/>
    <w:rsid w:val="0051412F"/>
    <w:rsid w:val="00515031"/>
    <w:rsid w:val="00520A8B"/>
    <w:rsid w:val="005214B1"/>
    <w:rsid w:val="00521A6F"/>
    <w:rsid w:val="00521BD3"/>
    <w:rsid w:val="00523BE4"/>
    <w:rsid w:val="005243AF"/>
    <w:rsid w:val="00525B20"/>
    <w:rsid w:val="00526F2C"/>
    <w:rsid w:val="00527500"/>
    <w:rsid w:val="00527753"/>
    <w:rsid w:val="00531F87"/>
    <w:rsid w:val="00533963"/>
    <w:rsid w:val="00533A2F"/>
    <w:rsid w:val="00534FC1"/>
    <w:rsid w:val="00536421"/>
    <w:rsid w:val="00540E62"/>
    <w:rsid w:val="0054302C"/>
    <w:rsid w:val="00543CEB"/>
    <w:rsid w:val="005443DD"/>
    <w:rsid w:val="005444C4"/>
    <w:rsid w:val="005454D6"/>
    <w:rsid w:val="005465C0"/>
    <w:rsid w:val="0054683F"/>
    <w:rsid w:val="00550643"/>
    <w:rsid w:val="005535E6"/>
    <w:rsid w:val="00554304"/>
    <w:rsid w:val="00555AD4"/>
    <w:rsid w:val="005562E9"/>
    <w:rsid w:val="00556F7A"/>
    <w:rsid w:val="00560DA8"/>
    <w:rsid w:val="005622DA"/>
    <w:rsid w:val="00562704"/>
    <w:rsid w:val="005643C4"/>
    <w:rsid w:val="00565AD8"/>
    <w:rsid w:val="00565F77"/>
    <w:rsid w:val="00567023"/>
    <w:rsid w:val="00567DE8"/>
    <w:rsid w:val="00571D0A"/>
    <w:rsid w:val="00571D22"/>
    <w:rsid w:val="0057476E"/>
    <w:rsid w:val="00574B78"/>
    <w:rsid w:val="00580560"/>
    <w:rsid w:val="00581FF6"/>
    <w:rsid w:val="0058346C"/>
    <w:rsid w:val="00584C2A"/>
    <w:rsid w:val="00590AC7"/>
    <w:rsid w:val="00590B76"/>
    <w:rsid w:val="00590C71"/>
    <w:rsid w:val="00591024"/>
    <w:rsid w:val="00594651"/>
    <w:rsid w:val="005946D8"/>
    <w:rsid w:val="00594C30"/>
    <w:rsid w:val="0059528E"/>
    <w:rsid w:val="005954CD"/>
    <w:rsid w:val="005A0503"/>
    <w:rsid w:val="005A2D05"/>
    <w:rsid w:val="005A673F"/>
    <w:rsid w:val="005A6AF0"/>
    <w:rsid w:val="005B0466"/>
    <w:rsid w:val="005B1C3D"/>
    <w:rsid w:val="005B63DE"/>
    <w:rsid w:val="005C09B4"/>
    <w:rsid w:val="005C13B8"/>
    <w:rsid w:val="005C13CE"/>
    <w:rsid w:val="005C3950"/>
    <w:rsid w:val="005C3A13"/>
    <w:rsid w:val="005C407A"/>
    <w:rsid w:val="005C41AA"/>
    <w:rsid w:val="005C51E7"/>
    <w:rsid w:val="005C5AC5"/>
    <w:rsid w:val="005C6253"/>
    <w:rsid w:val="005C6F56"/>
    <w:rsid w:val="005C7E9A"/>
    <w:rsid w:val="005C7F27"/>
    <w:rsid w:val="005D18A2"/>
    <w:rsid w:val="005D43A7"/>
    <w:rsid w:val="005D5632"/>
    <w:rsid w:val="005E180E"/>
    <w:rsid w:val="005E7C08"/>
    <w:rsid w:val="005F1B35"/>
    <w:rsid w:val="005F254E"/>
    <w:rsid w:val="005F3373"/>
    <w:rsid w:val="005F353E"/>
    <w:rsid w:val="005F4078"/>
    <w:rsid w:val="005F555A"/>
    <w:rsid w:val="00603C4C"/>
    <w:rsid w:val="006050A4"/>
    <w:rsid w:val="00605948"/>
    <w:rsid w:val="006059C2"/>
    <w:rsid w:val="006074EF"/>
    <w:rsid w:val="006077EF"/>
    <w:rsid w:val="00610032"/>
    <w:rsid w:val="00610B94"/>
    <w:rsid w:val="00612F65"/>
    <w:rsid w:val="00613F03"/>
    <w:rsid w:val="0061509D"/>
    <w:rsid w:val="00620487"/>
    <w:rsid w:val="00621010"/>
    <w:rsid w:val="00622517"/>
    <w:rsid w:val="00623B3E"/>
    <w:rsid w:val="00623EE0"/>
    <w:rsid w:val="006260C6"/>
    <w:rsid w:val="006304B7"/>
    <w:rsid w:val="00630688"/>
    <w:rsid w:val="00630E82"/>
    <w:rsid w:val="00631ACF"/>
    <w:rsid w:val="00632383"/>
    <w:rsid w:val="00634785"/>
    <w:rsid w:val="00644D02"/>
    <w:rsid w:val="00644F1E"/>
    <w:rsid w:val="00645484"/>
    <w:rsid w:val="006464FC"/>
    <w:rsid w:val="00650806"/>
    <w:rsid w:val="00650AC2"/>
    <w:rsid w:val="00651433"/>
    <w:rsid w:val="00651B76"/>
    <w:rsid w:val="0065428D"/>
    <w:rsid w:val="006560C7"/>
    <w:rsid w:val="006572AF"/>
    <w:rsid w:val="00657485"/>
    <w:rsid w:val="00660DF6"/>
    <w:rsid w:val="00660EA4"/>
    <w:rsid w:val="00662752"/>
    <w:rsid w:val="00663188"/>
    <w:rsid w:val="00663346"/>
    <w:rsid w:val="006649DA"/>
    <w:rsid w:val="00664A5B"/>
    <w:rsid w:val="00666E0B"/>
    <w:rsid w:val="00670C83"/>
    <w:rsid w:val="00672B47"/>
    <w:rsid w:val="00673744"/>
    <w:rsid w:val="00673ECC"/>
    <w:rsid w:val="00674A12"/>
    <w:rsid w:val="00674BF8"/>
    <w:rsid w:val="00675D0C"/>
    <w:rsid w:val="006774FD"/>
    <w:rsid w:val="00677C62"/>
    <w:rsid w:val="00680A2B"/>
    <w:rsid w:val="0068103D"/>
    <w:rsid w:val="00682F30"/>
    <w:rsid w:val="0068674B"/>
    <w:rsid w:val="006869E6"/>
    <w:rsid w:val="006874FA"/>
    <w:rsid w:val="00690949"/>
    <w:rsid w:val="006939B5"/>
    <w:rsid w:val="00695DA1"/>
    <w:rsid w:val="0069787F"/>
    <w:rsid w:val="00697CFE"/>
    <w:rsid w:val="006A1DD4"/>
    <w:rsid w:val="006A392B"/>
    <w:rsid w:val="006A5577"/>
    <w:rsid w:val="006A61E2"/>
    <w:rsid w:val="006A64BF"/>
    <w:rsid w:val="006B41C6"/>
    <w:rsid w:val="006B5E49"/>
    <w:rsid w:val="006B7967"/>
    <w:rsid w:val="006C2ADC"/>
    <w:rsid w:val="006C449B"/>
    <w:rsid w:val="006C4803"/>
    <w:rsid w:val="006C79D1"/>
    <w:rsid w:val="006D11E4"/>
    <w:rsid w:val="006D2AFC"/>
    <w:rsid w:val="006D3350"/>
    <w:rsid w:val="006D4FAA"/>
    <w:rsid w:val="006D7296"/>
    <w:rsid w:val="006D7BAE"/>
    <w:rsid w:val="006E0669"/>
    <w:rsid w:val="006E08A5"/>
    <w:rsid w:val="006E289A"/>
    <w:rsid w:val="006E39C7"/>
    <w:rsid w:val="006E5093"/>
    <w:rsid w:val="006E52B5"/>
    <w:rsid w:val="006E63DD"/>
    <w:rsid w:val="006E676C"/>
    <w:rsid w:val="006E6B1E"/>
    <w:rsid w:val="006E775D"/>
    <w:rsid w:val="006F0483"/>
    <w:rsid w:val="006F3B04"/>
    <w:rsid w:val="006F5C82"/>
    <w:rsid w:val="006F73B5"/>
    <w:rsid w:val="007002A3"/>
    <w:rsid w:val="00705B6C"/>
    <w:rsid w:val="00707CE5"/>
    <w:rsid w:val="007100A2"/>
    <w:rsid w:val="00710B54"/>
    <w:rsid w:val="00710B6E"/>
    <w:rsid w:val="00711128"/>
    <w:rsid w:val="007115C5"/>
    <w:rsid w:val="00712065"/>
    <w:rsid w:val="00713507"/>
    <w:rsid w:val="007163BF"/>
    <w:rsid w:val="00716C48"/>
    <w:rsid w:val="00723654"/>
    <w:rsid w:val="007236AE"/>
    <w:rsid w:val="00723D66"/>
    <w:rsid w:val="00726880"/>
    <w:rsid w:val="00730224"/>
    <w:rsid w:val="00731B8A"/>
    <w:rsid w:val="0073219B"/>
    <w:rsid w:val="0073234B"/>
    <w:rsid w:val="00733695"/>
    <w:rsid w:val="00735A88"/>
    <w:rsid w:val="00737D24"/>
    <w:rsid w:val="00737F08"/>
    <w:rsid w:val="00741D60"/>
    <w:rsid w:val="007444C1"/>
    <w:rsid w:val="00746F31"/>
    <w:rsid w:val="007471C2"/>
    <w:rsid w:val="007518EB"/>
    <w:rsid w:val="007526BF"/>
    <w:rsid w:val="007543D7"/>
    <w:rsid w:val="00755D4D"/>
    <w:rsid w:val="00756B81"/>
    <w:rsid w:val="0076001B"/>
    <w:rsid w:val="007646E8"/>
    <w:rsid w:val="00764F58"/>
    <w:rsid w:val="00766FD9"/>
    <w:rsid w:val="00767F28"/>
    <w:rsid w:val="00772BE2"/>
    <w:rsid w:val="0077301F"/>
    <w:rsid w:val="00773F87"/>
    <w:rsid w:val="0077407A"/>
    <w:rsid w:val="007747C5"/>
    <w:rsid w:val="0078020F"/>
    <w:rsid w:val="00780C4B"/>
    <w:rsid w:val="0078187E"/>
    <w:rsid w:val="00784EB0"/>
    <w:rsid w:val="007867D0"/>
    <w:rsid w:val="00786934"/>
    <w:rsid w:val="00787652"/>
    <w:rsid w:val="0079029B"/>
    <w:rsid w:val="00791848"/>
    <w:rsid w:val="00793AD9"/>
    <w:rsid w:val="00793FA0"/>
    <w:rsid w:val="00794660"/>
    <w:rsid w:val="007946D7"/>
    <w:rsid w:val="00794AA9"/>
    <w:rsid w:val="00797535"/>
    <w:rsid w:val="007A047A"/>
    <w:rsid w:val="007A0C58"/>
    <w:rsid w:val="007A0E1D"/>
    <w:rsid w:val="007A1836"/>
    <w:rsid w:val="007A38FF"/>
    <w:rsid w:val="007A777F"/>
    <w:rsid w:val="007A78B1"/>
    <w:rsid w:val="007A792D"/>
    <w:rsid w:val="007B0821"/>
    <w:rsid w:val="007B0D0A"/>
    <w:rsid w:val="007B1465"/>
    <w:rsid w:val="007B3ED4"/>
    <w:rsid w:val="007B5113"/>
    <w:rsid w:val="007B6899"/>
    <w:rsid w:val="007B796B"/>
    <w:rsid w:val="007C2173"/>
    <w:rsid w:val="007C473E"/>
    <w:rsid w:val="007C4EC7"/>
    <w:rsid w:val="007D17D4"/>
    <w:rsid w:val="007D4F60"/>
    <w:rsid w:val="007D5C5E"/>
    <w:rsid w:val="007D5DD5"/>
    <w:rsid w:val="007E03B6"/>
    <w:rsid w:val="007E0659"/>
    <w:rsid w:val="007E142E"/>
    <w:rsid w:val="007E2311"/>
    <w:rsid w:val="007E457C"/>
    <w:rsid w:val="007E46D7"/>
    <w:rsid w:val="007E4C93"/>
    <w:rsid w:val="007E5421"/>
    <w:rsid w:val="007E60A2"/>
    <w:rsid w:val="007F4C21"/>
    <w:rsid w:val="007F5538"/>
    <w:rsid w:val="007F5EF1"/>
    <w:rsid w:val="007F6A42"/>
    <w:rsid w:val="007F729A"/>
    <w:rsid w:val="00800178"/>
    <w:rsid w:val="0080072C"/>
    <w:rsid w:val="00802376"/>
    <w:rsid w:val="008023BA"/>
    <w:rsid w:val="0080556D"/>
    <w:rsid w:val="00813D44"/>
    <w:rsid w:val="008152EB"/>
    <w:rsid w:val="008164B4"/>
    <w:rsid w:val="00816B56"/>
    <w:rsid w:val="00817868"/>
    <w:rsid w:val="00821A8C"/>
    <w:rsid w:val="00823E76"/>
    <w:rsid w:val="008247EA"/>
    <w:rsid w:val="00824A03"/>
    <w:rsid w:val="00825263"/>
    <w:rsid w:val="00826C2B"/>
    <w:rsid w:val="008306F9"/>
    <w:rsid w:val="00832BB3"/>
    <w:rsid w:val="0083366F"/>
    <w:rsid w:val="008355EA"/>
    <w:rsid w:val="00835938"/>
    <w:rsid w:val="008363FE"/>
    <w:rsid w:val="0083691F"/>
    <w:rsid w:val="0084029D"/>
    <w:rsid w:val="00840C7D"/>
    <w:rsid w:val="00840DE3"/>
    <w:rsid w:val="00843A58"/>
    <w:rsid w:val="00844B12"/>
    <w:rsid w:val="008456A7"/>
    <w:rsid w:val="00845763"/>
    <w:rsid w:val="0084754A"/>
    <w:rsid w:val="00847A25"/>
    <w:rsid w:val="00853C37"/>
    <w:rsid w:val="0085455F"/>
    <w:rsid w:val="00857CE4"/>
    <w:rsid w:val="00857EC3"/>
    <w:rsid w:val="0086058A"/>
    <w:rsid w:val="00861005"/>
    <w:rsid w:val="00861405"/>
    <w:rsid w:val="00862641"/>
    <w:rsid w:val="00862851"/>
    <w:rsid w:val="0086292E"/>
    <w:rsid w:val="0086342E"/>
    <w:rsid w:val="0086371F"/>
    <w:rsid w:val="00863863"/>
    <w:rsid w:val="00866047"/>
    <w:rsid w:val="00871D73"/>
    <w:rsid w:val="00871ECE"/>
    <w:rsid w:val="008739AB"/>
    <w:rsid w:val="0087440D"/>
    <w:rsid w:val="00877201"/>
    <w:rsid w:val="008773DA"/>
    <w:rsid w:val="008776AA"/>
    <w:rsid w:val="00880EA2"/>
    <w:rsid w:val="00884E44"/>
    <w:rsid w:val="00885271"/>
    <w:rsid w:val="0088561B"/>
    <w:rsid w:val="00885764"/>
    <w:rsid w:val="00886627"/>
    <w:rsid w:val="00887F71"/>
    <w:rsid w:val="008974F5"/>
    <w:rsid w:val="008A0C0D"/>
    <w:rsid w:val="008A2BAB"/>
    <w:rsid w:val="008A4CCD"/>
    <w:rsid w:val="008A528F"/>
    <w:rsid w:val="008A5AFE"/>
    <w:rsid w:val="008A769F"/>
    <w:rsid w:val="008B0C4D"/>
    <w:rsid w:val="008B2CEB"/>
    <w:rsid w:val="008B2DDC"/>
    <w:rsid w:val="008B502E"/>
    <w:rsid w:val="008B562D"/>
    <w:rsid w:val="008B5F51"/>
    <w:rsid w:val="008B6C16"/>
    <w:rsid w:val="008C0330"/>
    <w:rsid w:val="008C17B2"/>
    <w:rsid w:val="008C1C24"/>
    <w:rsid w:val="008C3FF1"/>
    <w:rsid w:val="008C5DD0"/>
    <w:rsid w:val="008C618B"/>
    <w:rsid w:val="008D02DB"/>
    <w:rsid w:val="008D1398"/>
    <w:rsid w:val="008D24D0"/>
    <w:rsid w:val="008D4CEE"/>
    <w:rsid w:val="008D4DC0"/>
    <w:rsid w:val="008D5B8A"/>
    <w:rsid w:val="008D7DBE"/>
    <w:rsid w:val="008E3503"/>
    <w:rsid w:val="008E372A"/>
    <w:rsid w:val="008E5703"/>
    <w:rsid w:val="008E5A6A"/>
    <w:rsid w:val="008F12D9"/>
    <w:rsid w:val="008F2E00"/>
    <w:rsid w:val="008F3367"/>
    <w:rsid w:val="008F4557"/>
    <w:rsid w:val="008F63EF"/>
    <w:rsid w:val="0090179D"/>
    <w:rsid w:val="00901A10"/>
    <w:rsid w:val="00903A09"/>
    <w:rsid w:val="00905E53"/>
    <w:rsid w:val="00907066"/>
    <w:rsid w:val="00907572"/>
    <w:rsid w:val="00910A01"/>
    <w:rsid w:val="00910F94"/>
    <w:rsid w:val="00911BDB"/>
    <w:rsid w:val="0091214E"/>
    <w:rsid w:val="00912BC3"/>
    <w:rsid w:val="009132C8"/>
    <w:rsid w:val="009139D8"/>
    <w:rsid w:val="009143BA"/>
    <w:rsid w:val="0091621C"/>
    <w:rsid w:val="00916E3E"/>
    <w:rsid w:val="00917AF7"/>
    <w:rsid w:val="00920DEB"/>
    <w:rsid w:val="00923756"/>
    <w:rsid w:val="0092571C"/>
    <w:rsid w:val="00925A45"/>
    <w:rsid w:val="0093034A"/>
    <w:rsid w:val="009305D0"/>
    <w:rsid w:val="0093310C"/>
    <w:rsid w:val="0093382C"/>
    <w:rsid w:val="00934604"/>
    <w:rsid w:val="009356AC"/>
    <w:rsid w:val="009365B0"/>
    <w:rsid w:val="009367D7"/>
    <w:rsid w:val="009412EE"/>
    <w:rsid w:val="00941A3B"/>
    <w:rsid w:val="0094328D"/>
    <w:rsid w:val="009437FF"/>
    <w:rsid w:val="00943E34"/>
    <w:rsid w:val="0094476E"/>
    <w:rsid w:val="00944B4C"/>
    <w:rsid w:val="00945291"/>
    <w:rsid w:val="009455C4"/>
    <w:rsid w:val="00945752"/>
    <w:rsid w:val="009464D3"/>
    <w:rsid w:val="0094752E"/>
    <w:rsid w:val="009475ED"/>
    <w:rsid w:val="00947FA2"/>
    <w:rsid w:val="0095014C"/>
    <w:rsid w:val="00950A80"/>
    <w:rsid w:val="00954C7B"/>
    <w:rsid w:val="0095765F"/>
    <w:rsid w:val="009612A9"/>
    <w:rsid w:val="00961E5E"/>
    <w:rsid w:val="0096276C"/>
    <w:rsid w:val="0096287F"/>
    <w:rsid w:val="00963176"/>
    <w:rsid w:val="009641E3"/>
    <w:rsid w:val="00964879"/>
    <w:rsid w:val="0096536F"/>
    <w:rsid w:val="00967AFE"/>
    <w:rsid w:val="009711AC"/>
    <w:rsid w:val="00971546"/>
    <w:rsid w:val="009744DE"/>
    <w:rsid w:val="009777D9"/>
    <w:rsid w:val="00980D96"/>
    <w:rsid w:val="00982998"/>
    <w:rsid w:val="00984677"/>
    <w:rsid w:val="0098760F"/>
    <w:rsid w:val="009878B8"/>
    <w:rsid w:val="009911D5"/>
    <w:rsid w:val="009915B6"/>
    <w:rsid w:val="00993010"/>
    <w:rsid w:val="00994313"/>
    <w:rsid w:val="00994323"/>
    <w:rsid w:val="009945EB"/>
    <w:rsid w:val="009947B7"/>
    <w:rsid w:val="00995D2E"/>
    <w:rsid w:val="0099655F"/>
    <w:rsid w:val="009977BF"/>
    <w:rsid w:val="009A074B"/>
    <w:rsid w:val="009A13BC"/>
    <w:rsid w:val="009A1A3B"/>
    <w:rsid w:val="009A1F6E"/>
    <w:rsid w:val="009A2644"/>
    <w:rsid w:val="009A26AA"/>
    <w:rsid w:val="009A2FA2"/>
    <w:rsid w:val="009A3347"/>
    <w:rsid w:val="009A4079"/>
    <w:rsid w:val="009A4483"/>
    <w:rsid w:val="009A508A"/>
    <w:rsid w:val="009A5C4F"/>
    <w:rsid w:val="009A5C52"/>
    <w:rsid w:val="009A6DC9"/>
    <w:rsid w:val="009B0596"/>
    <w:rsid w:val="009B2067"/>
    <w:rsid w:val="009B2C3C"/>
    <w:rsid w:val="009B481E"/>
    <w:rsid w:val="009B494D"/>
    <w:rsid w:val="009B5107"/>
    <w:rsid w:val="009B7179"/>
    <w:rsid w:val="009C065C"/>
    <w:rsid w:val="009C371E"/>
    <w:rsid w:val="009C4860"/>
    <w:rsid w:val="009C4F83"/>
    <w:rsid w:val="009C5C91"/>
    <w:rsid w:val="009C7578"/>
    <w:rsid w:val="009C7905"/>
    <w:rsid w:val="009C7E48"/>
    <w:rsid w:val="009D2D5C"/>
    <w:rsid w:val="009D4781"/>
    <w:rsid w:val="009D486B"/>
    <w:rsid w:val="009D5EAF"/>
    <w:rsid w:val="009D6335"/>
    <w:rsid w:val="009D74D1"/>
    <w:rsid w:val="009D7538"/>
    <w:rsid w:val="009E3631"/>
    <w:rsid w:val="009E610F"/>
    <w:rsid w:val="009E65B5"/>
    <w:rsid w:val="009F024E"/>
    <w:rsid w:val="009F276F"/>
    <w:rsid w:val="009F4163"/>
    <w:rsid w:val="009F57F8"/>
    <w:rsid w:val="009F6C3A"/>
    <w:rsid w:val="009F71DB"/>
    <w:rsid w:val="009F7B21"/>
    <w:rsid w:val="00A00A19"/>
    <w:rsid w:val="00A020BF"/>
    <w:rsid w:val="00A028CA"/>
    <w:rsid w:val="00A03F39"/>
    <w:rsid w:val="00A04574"/>
    <w:rsid w:val="00A050C4"/>
    <w:rsid w:val="00A14E8B"/>
    <w:rsid w:val="00A15CDD"/>
    <w:rsid w:val="00A16585"/>
    <w:rsid w:val="00A175CA"/>
    <w:rsid w:val="00A2019A"/>
    <w:rsid w:val="00A22290"/>
    <w:rsid w:val="00A22C12"/>
    <w:rsid w:val="00A22ED2"/>
    <w:rsid w:val="00A2587B"/>
    <w:rsid w:val="00A271C7"/>
    <w:rsid w:val="00A27B01"/>
    <w:rsid w:val="00A27D4D"/>
    <w:rsid w:val="00A30635"/>
    <w:rsid w:val="00A30978"/>
    <w:rsid w:val="00A3253B"/>
    <w:rsid w:val="00A32843"/>
    <w:rsid w:val="00A32BA1"/>
    <w:rsid w:val="00A336CC"/>
    <w:rsid w:val="00A37F0F"/>
    <w:rsid w:val="00A406BD"/>
    <w:rsid w:val="00A4070E"/>
    <w:rsid w:val="00A414A1"/>
    <w:rsid w:val="00A4212C"/>
    <w:rsid w:val="00A423BE"/>
    <w:rsid w:val="00A42F2B"/>
    <w:rsid w:val="00A438A3"/>
    <w:rsid w:val="00A47CBB"/>
    <w:rsid w:val="00A54BE9"/>
    <w:rsid w:val="00A56FA4"/>
    <w:rsid w:val="00A57220"/>
    <w:rsid w:val="00A5760E"/>
    <w:rsid w:val="00A579CE"/>
    <w:rsid w:val="00A60905"/>
    <w:rsid w:val="00A60FB0"/>
    <w:rsid w:val="00A624A0"/>
    <w:rsid w:val="00A62B2F"/>
    <w:rsid w:val="00A63B43"/>
    <w:rsid w:val="00A64981"/>
    <w:rsid w:val="00A66228"/>
    <w:rsid w:val="00A6654B"/>
    <w:rsid w:val="00A71E0C"/>
    <w:rsid w:val="00A72C11"/>
    <w:rsid w:val="00A7318E"/>
    <w:rsid w:val="00A7329E"/>
    <w:rsid w:val="00A73746"/>
    <w:rsid w:val="00A74EDD"/>
    <w:rsid w:val="00A75B3E"/>
    <w:rsid w:val="00A75FE2"/>
    <w:rsid w:val="00A76C33"/>
    <w:rsid w:val="00A776E8"/>
    <w:rsid w:val="00A77E54"/>
    <w:rsid w:val="00A80605"/>
    <w:rsid w:val="00A81B1F"/>
    <w:rsid w:val="00A81C66"/>
    <w:rsid w:val="00A83701"/>
    <w:rsid w:val="00A8442B"/>
    <w:rsid w:val="00A86063"/>
    <w:rsid w:val="00A90198"/>
    <w:rsid w:val="00A903F1"/>
    <w:rsid w:val="00A90874"/>
    <w:rsid w:val="00A90EA9"/>
    <w:rsid w:val="00A9207C"/>
    <w:rsid w:val="00A92191"/>
    <w:rsid w:val="00A92CA3"/>
    <w:rsid w:val="00A940E9"/>
    <w:rsid w:val="00A956E3"/>
    <w:rsid w:val="00A97802"/>
    <w:rsid w:val="00AA1451"/>
    <w:rsid w:val="00AA14A0"/>
    <w:rsid w:val="00AA2A03"/>
    <w:rsid w:val="00AA2AE2"/>
    <w:rsid w:val="00AA31BC"/>
    <w:rsid w:val="00AA3730"/>
    <w:rsid w:val="00AA474E"/>
    <w:rsid w:val="00AA57AD"/>
    <w:rsid w:val="00AA7193"/>
    <w:rsid w:val="00AB05FB"/>
    <w:rsid w:val="00AB0B30"/>
    <w:rsid w:val="00AB12E3"/>
    <w:rsid w:val="00AB1998"/>
    <w:rsid w:val="00AB2061"/>
    <w:rsid w:val="00AB2918"/>
    <w:rsid w:val="00AB5920"/>
    <w:rsid w:val="00AB77EB"/>
    <w:rsid w:val="00AC0F17"/>
    <w:rsid w:val="00AC182A"/>
    <w:rsid w:val="00AC478B"/>
    <w:rsid w:val="00AC7C14"/>
    <w:rsid w:val="00AD3E29"/>
    <w:rsid w:val="00AD633A"/>
    <w:rsid w:val="00AE2AFA"/>
    <w:rsid w:val="00AE2E8F"/>
    <w:rsid w:val="00AE2FF9"/>
    <w:rsid w:val="00AE38CF"/>
    <w:rsid w:val="00AE3FC5"/>
    <w:rsid w:val="00AE4961"/>
    <w:rsid w:val="00AE6A3C"/>
    <w:rsid w:val="00AF02BD"/>
    <w:rsid w:val="00AF24DC"/>
    <w:rsid w:val="00AF4BB7"/>
    <w:rsid w:val="00AF5465"/>
    <w:rsid w:val="00AF588C"/>
    <w:rsid w:val="00AF5B64"/>
    <w:rsid w:val="00AF5D0C"/>
    <w:rsid w:val="00AF5E43"/>
    <w:rsid w:val="00AF5FC8"/>
    <w:rsid w:val="00AF6975"/>
    <w:rsid w:val="00AF7FB3"/>
    <w:rsid w:val="00B01300"/>
    <w:rsid w:val="00B01B42"/>
    <w:rsid w:val="00B02DB7"/>
    <w:rsid w:val="00B05FF4"/>
    <w:rsid w:val="00B07AFA"/>
    <w:rsid w:val="00B07D6E"/>
    <w:rsid w:val="00B10F85"/>
    <w:rsid w:val="00B12240"/>
    <w:rsid w:val="00B124F1"/>
    <w:rsid w:val="00B167F4"/>
    <w:rsid w:val="00B16E1D"/>
    <w:rsid w:val="00B1774B"/>
    <w:rsid w:val="00B17BD6"/>
    <w:rsid w:val="00B22D0B"/>
    <w:rsid w:val="00B22EAE"/>
    <w:rsid w:val="00B23A2A"/>
    <w:rsid w:val="00B23EDE"/>
    <w:rsid w:val="00B24134"/>
    <w:rsid w:val="00B25467"/>
    <w:rsid w:val="00B257D1"/>
    <w:rsid w:val="00B35ACC"/>
    <w:rsid w:val="00B36145"/>
    <w:rsid w:val="00B367B1"/>
    <w:rsid w:val="00B37772"/>
    <w:rsid w:val="00B378D5"/>
    <w:rsid w:val="00B425AB"/>
    <w:rsid w:val="00B429B9"/>
    <w:rsid w:val="00B42C3D"/>
    <w:rsid w:val="00B4313A"/>
    <w:rsid w:val="00B44A54"/>
    <w:rsid w:val="00B44F4A"/>
    <w:rsid w:val="00B45773"/>
    <w:rsid w:val="00B45B86"/>
    <w:rsid w:val="00B46C44"/>
    <w:rsid w:val="00B46F82"/>
    <w:rsid w:val="00B47804"/>
    <w:rsid w:val="00B47D06"/>
    <w:rsid w:val="00B52D7E"/>
    <w:rsid w:val="00B52ED7"/>
    <w:rsid w:val="00B53F0E"/>
    <w:rsid w:val="00B548B1"/>
    <w:rsid w:val="00B55D54"/>
    <w:rsid w:val="00B55DCA"/>
    <w:rsid w:val="00B6109C"/>
    <w:rsid w:val="00B6273E"/>
    <w:rsid w:val="00B631CF"/>
    <w:rsid w:val="00B632D7"/>
    <w:rsid w:val="00B63A74"/>
    <w:rsid w:val="00B64F1A"/>
    <w:rsid w:val="00B67374"/>
    <w:rsid w:val="00B67934"/>
    <w:rsid w:val="00B73183"/>
    <w:rsid w:val="00B74B74"/>
    <w:rsid w:val="00B7734D"/>
    <w:rsid w:val="00B77D68"/>
    <w:rsid w:val="00B80A44"/>
    <w:rsid w:val="00B8297A"/>
    <w:rsid w:val="00B838DF"/>
    <w:rsid w:val="00B84B18"/>
    <w:rsid w:val="00B84C51"/>
    <w:rsid w:val="00B86492"/>
    <w:rsid w:val="00B90362"/>
    <w:rsid w:val="00B9214F"/>
    <w:rsid w:val="00B9370B"/>
    <w:rsid w:val="00B93A3E"/>
    <w:rsid w:val="00B94037"/>
    <w:rsid w:val="00B94AF5"/>
    <w:rsid w:val="00B95852"/>
    <w:rsid w:val="00B95971"/>
    <w:rsid w:val="00B97ADE"/>
    <w:rsid w:val="00BA0349"/>
    <w:rsid w:val="00BA2413"/>
    <w:rsid w:val="00BA298E"/>
    <w:rsid w:val="00BA2DDD"/>
    <w:rsid w:val="00BA4815"/>
    <w:rsid w:val="00BA4EEA"/>
    <w:rsid w:val="00BA56F8"/>
    <w:rsid w:val="00BA750E"/>
    <w:rsid w:val="00BB1322"/>
    <w:rsid w:val="00BB2120"/>
    <w:rsid w:val="00BB2F4A"/>
    <w:rsid w:val="00BB3132"/>
    <w:rsid w:val="00BB3306"/>
    <w:rsid w:val="00BB5A48"/>
    <w:rsid w:val="00BB5D52"/>
    <w:rsid w:val="00BB6094"/>
    <w:rsid w:val="00BC1C60"/>
    <w:rsid w:val="00BC28F4"/>
    <w:rsid w:val="00BC358E"/>
    <w:rsid w:val="00BC3CCC"/>
    <w:rsid w:val="00BC42BE"/>
    <w:rsid w:val="00BC7173"/>
    <w:rsid w:val="00BD25A0"/>
    <w:rsid w:val="00BD38BE"/>
    <w:rsid w:val="00BD4622"/>
    <w:rsid w:val="00BD4F8C"/>
    <w:rsid w:val="00BE5918"/>
    <w:rsid w:val="00BE5FD9"/>
    <w:rsid w:val="00BE6726"/>
    <w:rsid w:val="00BF0897"/>
    <w:rsid w:val="00BF185C"/>
    <w:rsid w:val="00BF190D"/>
    <w:rsid w:val="00BF2DEB"/>
    <w:rsid w:val="00BF37FF"/>
    <w:rsid w:val="00BF4C0B"/>
    <w:rsid w:val="00BF640E"/>
    <w:rsid w:val="00BF7177"/>
    <w:rsid w:val="00BF7711"/>
    <w:rsid w:val="00C0083A"/>
    <w:rsid w:val="00C013B6"/>
    <w:rsid w:val="00C028FD"/>
    <w:rsid w:val="00C02F2C"/>
    <w:rsid w:val="00C033F2"/>
    <w:rsid w:val="00C0362B"/>
    <w:rsid w:val="00C06AD3"/>
    <w:rsid w:val="00C10782"/>
    <w:rsid w:val="00C14771"/>
    <w:rsid w:val="00C147F0"/>
    <w:rsid w:val="00C14A20"/>
    <w:rsid w:val="00C203EE"/>
    <w:rsid w:val="00C204DB"/>
    <w:rsid w:val="00C21C30"/>
    <w:rsid w:val="00C225C3"/>
    <w:rsid w:val="00C26BFD"/>
    <w:rsid w:val="00C26C0F"/>
    <w:rsid w:val="00C26C53"/>
    <w:rsid w:val="00C274AD"/>
    <w:rsid w:val="00C2758A"/>
    <w:rsid w:val="00C27AB0"/>
    <w:rsid w:val="00C27E23"/>
    <w:rsid w:val="00C30E41"/>
    <w:rsid w:val="00C31077"/>
    <w:rsid w:val="00C35520"/>
    <w:rsid w:val="00C355AE"/>
    <w:rsid w:val="00C357B0"/>
    <w:rsid w:val="00C368C2"/>
    <w:rsid w:val="00C36AB2"/>
    <w:rsid w:val="00C40A39"/>
    <w:rsid w:val="00C431A8"/>
    <w:rsid w:val="00C43E85"/>
    <w:rsid w:val="00C45573"/>
    <w:rsid w:val="00C46CA2"/>
    <w:rsid w:val="00C47671"/>
    <w:rsid w:val="00C47704"/>
    <w:rsid w:val="00C50913"/>
    <w:rsid w:val="00C52143"/>
    <w:rsid w:val="00C52408"/>
    <w:rsid w:val="00C52811"/>
    <w:rsid w:val="00C55366"/>
    <w:rsid w:val="00C63999"/>
    <w:rsid w:val="00C659A2"/>
    <w:rsid w:val="00C67023"/>
    <w:rsid w:val="00C730EB"/>
    <w:rsid w:val="00C74289"/>
    <w:rsid w:val="00C74B0B"/>
    <w:rsid w:val="00C74DB1"/>
    <w:rsid w:val="00C75A2A"/>
    <w:rsid w:val="00C77432"/>
    <w:rsid w:val="00C831AC"/>
    <w:rsid w:val="00C865E2"/>
    <w:rsid w:val="00C86B75"/>
    <w:rsid w:val="00C91A37"/>
    <w:rsid w:val="00C93970"/>
    <w:rsid w:val="00C941CA"/>
    <w:rsid w:val="00C9444D"/>
    <w:rsid w:val="00C946B5"/>
    <w:rsid w:val="00C957CF"/>
    <w:rsid w:val="00C95A91"/>
    <w:rsid w:val="00C95EA8"/>
    <w:rsid w:val="00C96BEE"/>
    <w:rsid w:val="00C97A34"/>
    <w:rsid w:val="00C97A3F"/>
    <w:rsid w:val="00CA0415"/>
    <w:rsid w:val="00CA20AE"/>
    <w:rsid w:val="00CA2FF5"/>
    <w:rsid w:val="00CA434C"/>
    <w:rsid w:val="00CA577D"/>
    <w:rsid w:val="00CA57AB"/>
    <w:rsid w:val="00CA7442"/>
    <w:rsid w:val="00CA7E04"/>
    <w:rsid w:val="00CB00A9"/>
    <w:rsid w:val="00CB3495"/>
    <w:rsid w:val="00CB6F65"/>
    <w:rsid w:val="00CC0DB7"/>
    <w:rsid w:val="00CC109C"/>
    <w:rsid w:val="00CC4190"/>
    <w:rsid w:val="00CC4C21"/>
    <w:rsid w:val="00CC68A4"/>
    <w:rsid w:val="00CC6BDD"/>
    <w:rsid w:val="00CC7697"/>
    <w:rsid w:val="00CC78EA"/>
    <w:rsid w:val="00CD11D2"/>
    <w:rsid w:val="00CD15B7"/>
    <w:rsid w:val="00CD16A2"/>
    <w:rsid w:val="00CD1780"/>
    <w:rsid w:val="00CD1A11"/>
    <w:rsid w:val="00CD2197"/>
    <w:rsid w:val="00CD682A"/>
    <w:rsid w:val="00CD7D0F"/>
    <w:rsid w:val="00CE333E"/>
    <w:rsid w:val="00CE4C32"/>
    <w:rsid w:val="00CE4D5F"/>
    <w:rsid w:val="00CE66A5"/>
    <w:rsid w:val="00CF0107"/>
    <w:rsid w:val="00CF039A"/>
    <w:rsid w:val="00CF085D"/>
    <w:rsid w:val="00CF0884"/>
    <w:rsid w:val="00CF121F"/>
    <w:rsid w:val="00CF2ADF"/>
    <w:rsid w:val="00CF3292"/>
    <w:rsid w:val="00CF4A51"/>
    <w:rsid w:val="00CF510E"/>
    <w:rsid w:val="00CF5A44"/>
    <w:rsid w:val="00D05D22"/>
    <w:rsid w:val="00D0749F"/>
    <w:rsid w:val="00D1035F"/>
    <w:rsid w:val="00D11B4C"/>
    <w:rsid w:val="00D14A66"/>
    <w:rsid w:val="00D15CF4"/>
    <w:rsid w:val="00D166A9"/>
    <w:rsid w:val="00D201C3"/>
    <w:rsid w:val="00D204C0"/>
    <w:rsid w:val="00D210A1"/>
    <w:rsid w:val="00D21CBD"/>
    <w:rsid w:val="00D26DD9"/>
    <w:rsid w:val="00D271B4"/>
    <w:rsid w:val="00D35595"/>
    <w:rsid w:val="00D40644"/>
    <w:rsid w:val="00D40E46"/>
    <w:rsid w:val="00D411DE"/>
    <w:rsid w:val="00D43FE8"/>
    <w:rsid w:val="00D448E8"/>
    <w:rsid w:val="00D4531A"/>
    <w:rsid w:val="00D45794"/>
    <w:rsid w:val="00D464D0"/>
    <w:rsid w:val="00D47D29"/>
    <w:rsid w:val="00D51D9B"/>
    <w:rsid w:val="00D53004"/>
    <w:rsid w:val="00D536C9"/>
    <w:rsid w:val="00D55AD3"/>
    <w:rsid w:val="00D568ED"/>
    <w:rsid w:val="00D56FE1"/>
    <w:rsid w:val="00D5710D"/>
    <w:rsid w:val="00D57470"/>
    <w:rsid w:val="00D5793A"/>
    <w:rsid w:val="00D57C78"/>
    <w:rsid w:val="00D62CB8"/>
    <w:rsid w:val="00D64205"/>
    <w:rsid w:val="00D64365"/>
    <w:rsid w:val="00D64CE1"/>
    <w:rsid w:val="00D672EF"/>
    <w:rsid w:val="00D73030"/>
    <w:rsid w:val="00D74735"/>
    <w:rsid w:val="00D76E0A"/>
    <w:rsid w:val="00D77307"/>
    <w:rsid w:val="00D7763F"/>
    <w:rsid w:val="00D805E1"/>
    <w:rsid w:val="00D80F13"/>
    <w:rsid w:val="00D81467"/>
    <w:rsid w:val="00D818AB"/>
    <w:rsid w:val="00D82A66"/>
    <w:rsid w:val="00D846E4"/>
    <w:rsid w:val="00D85280"/>
    <w:rsid w:val="00D8792E"/>
    <w:rsid w:val="00D92229"/>
    <w:rsid w:val="00D95463"/>
    <w:rsid w:val="00D95FD2"/>
    <w:rsid w:val="00D964E6"/>
    <w:rsid w:val="00D96E62"/>
    <w:rsid w:val="00D96F1D"/>
    <w:rsid w:val="00DA0D76"/>
    <w:rsid w:val="00DA1C07"/>
    <w:rsid w:val="00DA2927"/>
    <w:rsid w:val="00DA3A15"/>
    <w:rsid w:val="00DA73DF"/>
    <w:rsid w:val="00DA76B4"/>
    <w:rsid w:val="00DB04CE"/>
    <w:rsid w:val="00DB30BE"/>
    <w:rsid w:val="00DB56A3"/>
    <w:rsid w:val="00DB57C8"/>
    <w:rsid w:val="00DB705F"/>
    <w:rsid w:val="00DC039E"/>
    <w:rsid w:val="00DC1B70"/>
    <w:rsid w:val="00DC3579"/>
    <w:rsid w:val="00DC3B5C"/>
    <w:rsid w:val="00DC6F07"/>
    <w:rsid w:val="00DC7ECF"/>
    <w:rsid w:val="00DD235E"/>
    <w:rsid w:val="00DD37BC"/>
    <w:rsid w:val="00DD4094"/>
    <w:rsid w:val="00DD417E"/>
    <w:rsid w:val="00DD5C22"/>
    <w:rsid w:val="00DE1B69"/>
    <w:rsid w:val="00DE3B40"/>
    <w:rsid w:val="00DE458F"/>
    <w:rsid w:val="00DE55FB"/>
    <w:rsid w:val="00DE5C47"/>
    <w:rsid w:val="00DF0B3F"/>
    <w:rsid w:val="00DF1139"/>
    <w:rsid w:val="00DF492C"/>
    <w:rsid w:val="00DF6246"/>
    <w:rsid w:val="00E02585"/>
    <w:rsid w:val="00E047A5"/>
    <w:rsid w:val="00E04A2F"/>
    <w:rsid w:val="00E062AB"/>
    <w:rsid w:val="00E06478"/>
    <w:rsid w:val="00E07314"/>
    <w:rsid w:val="00E10D47"/>
    <w:rsid w:val="00E1240A"/>
    <w:rsid w:val="00E168F9"/>
    <w:rsid w:val="00E1718C"/>
    <w:rsid w:val="00E17488"/>
    <w:rsid w:val="00E17720"/>
    <w:rsid w:val="00E211AF"/>
    <w:rsid w:val="00E24576"/>
    <w:rsid w:val="00E2653E"/>
    <w:rsid w:val="00E2671B"/>
    <w:rsid w:val="00E26914"/>
    <w:rsid w:val="00E3036B"/>
    <w:rsid w:val="00E30931"/>
    <w:rsid w:val="00E30B1D"/>
    <w:rsid w:val="00E32468"/>
    <w:rsid w:val="00E33FB3"/>
    <w:rsid w:val="00E359B4"/>
    <w:rsid w:val="00E35C05"/>
    <w:rsid w:val="00E37438"/>
    <w:rsid w:val="00E374A7"/>
    <w:rsid w:val="00E37603"/>
    <w:rsid w:val="00E376A5"/>
    <w:rsid w:val="00E4191A"/>
    <w:rsid w:val="00E41F20"/>
    <w:rsid w:val="00E446BD"/>
    <w:rsid w:val="00E46761"/>
    <w:rsid w:val="00E50BDA"/>
    <w:rsid w:val="00E517AF"/>
    <w:rsid w:val="00E55CFA"/>
    <w:rsid w:val="00E5615B"/>
    <w:rsid w:val="00E6086F"/>
    <w:rsid w:val="00E611A5"/>
    <w:rsid w:val="00E61BAF"/>
    <w:rsid w:val="00E624B5"/>
    <w:rsid w:val="00E626E5"/>
    <w:rsid w:val="00E63BD0"/>
    <w:rsid w:val="00E652E8"/>
    <w:rsid w:val="00E664A5"/>
    <w:rsid w:val="00E70C05"/>
    <w:rsid w:val="00E71D4C"/>
    <w:rsid w:val="00E71D50"/>
    <w:rsid w:val="00E7242B"/>
    <w:rsid w:val="00E74626"/>
    <w:rsid w:val="00E8135C"/>
    <w:rsid w:val="00E821C3"/>
    <w:rsid w:val="00E82772"/>
    <w:rsid w:val="00E82C32"/>
    <w:rsid w:val="00E84651"/>
    <w:rsid w:val="00E8569B"/>
    <w:rsid w:val="00E87311"/>
    <w:rsid w:val="00E87623"/>
    <w:rsid w:val="00E87D67"/>
    <w:rsid w:val="00E908AF"/>
    <w:rsid w:val="00E92C41"/>
    <w:rsid w:val="00E92CE8"/>
    <w:rsid w:val="00E93068"/>
    <w:rsid w:val="00E952EF"/>
    <w:rsid w:val="00EA1A8A"/>
    <w:rsid w:val="00EA22AC"/>
    <w:rsid w:val="00EA2F4C"/>
    <w:rsid w:val="00EA302A"/>
    <w:rsid w:val="00EA498C"/>
    <w:rsid w:val="00EA6FB0"/>
    <w:rsid w:val="00EA7C33"/>
    <w:rsid w:val="00EB03EC"/>
    <w:rsid w:val="00EB2D23"/>
    <w:rsid w:val="00EB44CD"/>
    <w:rsid w:val="00EB4D0C"/>
    <w:rsid w:val="00EB6BB1"/>
    <w:rsid w:val="00EB7346"/>
    <w:rsid w:val="00EB7A96"/>
    <w:rsid w:val="00EC169E"/>
    <w:rsid w:val="00EC1D7A"/>
    <w:rsid w:val="00EC48F4"/>
    <w:rsid w:val="00EC52B2"/>
    <w:rsid w:val="00EC72F5"/>
    <w:rsid w:val="00ED0A2B"/>
    <w:rsid w:val="00ED0ACB"/>
    <w:rsid w:val="00ED0FE7"/>
    <w:rsid w:val="00ED1948"/>
    <w:rsid w:val="00ED34D6"/>
    <w:rsid w:val="00ED5C78"/>
    <w:rsid w:val="00ED6C2B"/>
    <w:rsid w:val="00EE0935"/>
    <w:rsid w:val="00EE268C"/>
    <w:rsid w:val="00EE38B4"/>
    <w:rsid w:val="00EE3C33"/>
    <w:rsid w:val="00EE670A"/>
    <w:rsid w:val="00EF1E1D"/>
    <w:rsid w:val="00EF49A7"/>
    <w:rsid w:val="00EF6B1D"/>
    <w:rsid w:val="00F00E4D"/>
    <w:rsid w:val="00F013C3"/>
    <w:rsid w:val="00F027A3"/>
    <w:rsid w:val="00F0351B"/>
    <w:rsid w:val="00F04174"/>
    <w:rsid w:val="00F05DEA"/>
    <w:rsid w:val="00F064AC"/>
    <w:rsid w:val="00F119A9"/>
    <w:rsid w:val="00F12041"/>
    <w:rsid w:val="00F12664"/>
    <w:rsid w:val="00F12847"/>
    <w:rsid w:val="00F13536"/>
    <w:rsid w:val="00F13CE7"/>
    <w:rsid w:val="00F147F4"/>
    <w:rsid w:val="00F15098"/>
    <w:rsid w:val="00F164AE"/>
    <w:rsid w:val="00F17A2E"/>
    <w:rsid w:val="00F17C4E"/>
    <w:rsid w:val="00F20E73"/>
    <w:rsid w:val="00F20F47"/>
    <w:rsid w:val="00F21727"/>
    <w:rsid w:val="00F25D1F"/>
    <w:rsid w:val="00F27529"/>
    <w:rsid w:val="00F279F8"/>
    <w:rsid w:val="00F27CC9"/>
    <w:rsid w:val="00F30746"/>
    <w:rsid w:val="00F309A7"/>
    <w:rsid w:val="00F3188B"/>
    <w:rsid w:val="00F33338"/>
    <w:rsid w:val="00F36672"/>
    <w:rsid w:val="00F37458"/>
    <w:rsid w:val="00F37CC1"/>
    <w:rsid w:val="00F41155"/>
    <w:rsid w:val="00F41F5D"/>
    <w:rsid w:val="00F42360"/>
    <w:rsid w:val="00F459DB"/>
    <w:rsid w:val="00F47D7C"/>
    <w:rsid w:val="00F47FC9"/>
    <w:rsid w:val="00F502BE"/>
    <w:rsid w:val="00F50599"/>
    <w:rsid w:val="00F51F83"/>
    <w:rsid w:val="00F5316F"/>
    <w:rsid w:val="00F54DD2"/>
    <w:rsid w:val="00F56C58"/>
    <w:rsid w:val="00F6129D"/>
    <w:rsid w:val="00F64526"/>
    <w:rsid w:val="00F65E03"/>
    <w:rsid w:val="00F6610B"/>
    <w:rsid w:val="00F671D1"/>
    <w:rsid w:val="00F72364"/>
    <w:rsid w:val="00F73016"/>
    <w:rsid w:val="00F74688"/>
    <w:rsid w:val="00F757A7"/>
    <w:rsid w:val="00F75804"/>
    <w:rsid w:val="00F80068"/>
    <w:rsid w:val="00F824B1"/>
    <w:rsid w:val="00F825CA"/>
    <w:rsid w:val="00F83140"/>
    <w:rsid w:val="00F8494B"/>
    <w:rsid w:val="00F9063E"/>
    <w:rsid w:val="00F92186"/>
    <w:rsid w:val="00F928FE"/>
    <w:rsid w:val="00F96EF1"/>
    <w:rsid w:val="00FA1A8B"/>
    <w:rsid w:val="00FA21B4"/>
    <w:rsid w:val="00FA28C0"/>
    <w:rsid w:val="00FA7052"/>
    <w:rsid w:val="00FA7760"/>
    <w:rsid w:val="00FB2FFD"/>
    <w:rsid w:val="00FB3AB6"/>
    <w:rsid w:val="00FC0347"/>
    <w:rsid w:val="00FC1C96"/>
    <w:rsid w:val="00FC29D0"/>
    <w:rsid w:val="00FC4535"/>
    <w:rsid w:val="00FC46FC"/>
    <w:rsid w:val="00FC7E60"/>
    <w:rsid w:val="00FD02A1"/>
    <w:rsid w:val="00FD1F8A"/>
    <w:rsid w:val="00FD5C87"/>
    <w:rsid w:val="00FD6A2A"/>
    <w:rsid w:val="00FE13BC"/>
    <w:rsid w:val="00FE4165"/>
    <w:rsid w:val="00FE4A17"/>
    <w:rsid w:val="00FE5F51"/>
    <w:rsid w:val="00FE7D32"/>
    <w:rsid w:val="00FF1086"/>
    <w:rsid w:val="00FF1B9F"/>
    <w:rsid w:val="00FF3E3D"/>
    <w:rsid w:val="00FF50FE"/>
    <w:rsid w:val="00FF6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14911"/>
  <w15:docId w15:val="{5D746704-08DE-44D8-8FFD-145E0CD6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D7"/>
  </w:style>
  <w:style w:type="paragraph" w:styleId="Heading1">
    <w:name w:val="heading 1"/>
    <w:basedOn w:val="Normal"/>
    <w:next w:val="Normal"/>
    <w:link w:val="Heading1Char"/>
    <w:uiPriority w:val="9"/>
    <w:qFormat/>
    <w:rsid w:val="00437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B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7B29"/>
  </w:style>
  <w:style w:type="paragraph" w:styleId="Footer">
    <w:name w:val="footer"/>
    <w:basedOn w:val="Normal"/>
    <w:link w:val="FooterChar"/>
    <w:uiPriority w:val="99"/>
    <w:unhideWhenUsed/>
    <w:rsid w:val="00437B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B29"/>
  </w:style>
  <w:style w:type="paragraph" w:styleId="BalloonText">
    <w:name w:val="Balloon Text"/>
    <w:basedOn w:val="Normal"/>
    <w:link w:val="BalloonTextChar"/>
    <w:uiPriority w:val="99"/>
    <w:semiHidden/>
    <w:unhideWhenUsed/>
    <w:rsid w:val="0043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B29"/>
    <w:rPr>
      <w:rFonts w:ascii="Tahoma" w:hAnsi="Tahoma" w:cs="Tahoma"/>
      <w:sz w:val="16"/>
      <w:szCs w:val="16"/>
    </w:rPr>
  </w:style>
  <w:style w:type="paragraph" w:styleId="Title">
    <w:name w:val="Title"/>
    <w:basedOn w:val="Normal"/>
    <w:next w:val="Normal"/>
    <w:link w:val="TitleChar"/>
    <w:uiPriority w:val="10"/>
    <w:qFormat/>
    <w:rsid w:val="008E3503"/>
    <w:pPr>
      <w:pBdr>
        <w:bottom w:val="single" w:sz="8" w:space="4" w:color="4F81BD" w:themeColor="accent1"/>
      </w:pBdr>
      <w:spacing w:after="300" w:line="240" w:lineRule="auto"/>
      <w:contextualSpacing/>
    </w:pPr>
    <w:rPr>
      <w:rFonts w:asciiTheme="majorHAnsi" w:eastAsiaTheme="majorEastAsia" w:hAnsiTheme="majorHAnsi" w:cstheme="majorBidi"/>
      <w:color w:val="365F91" w:themeColor="accent1" w:themeShade="BF"/>
      <w:spacing w:val="5"/>
      <w:kern w:val="28"/>
      <w:sz w:val="48"/>
      <w:szCs w:val="52"/>
      <w:lang w:val="en-US"/>
    </w:rPr>
  </w:style>
  <w:style w:type="character" w:customStyle="1" w:styleId="TitleChar">
    <w:name w:val="Title Char"/>
    <w:basedOn w:val="DefaultParagraphFont"/>
    <w:link w:val="Title"/>
    <w:uiPriority w:val="10"/>
    <w:rsid w:val="008E3503"/>
    <w:rPr>
      <w:rFonts w:asciiTheme="majorHAnsi" w:eastAsiaTheme="majorEastAsia" w:hAnsiTheme="majorHAnsi" w:cstheme="majorBidi"/>
      <w:color w:val="365F91" w:themeColor="accent1" w:themeShade="BF"/>
      <w:spacing w:val="5"/>
      <w:kern w:val="28"/>
      <w:sz w:val="48"/>
      <w:szCs w:val="52"/>
      <w:lang w:val="en-US"/>
    </w:rPr>
  </w:style>
  <w:style w:type="character" w:customStyle="1" w:styleId="Heading1Char">
    <w:name w:val="Heading 1 Char"/>
    <w:basedOn w:val="DefaultParagraphFont"/>
    <w:link w:val="Heading1"/>
    <w:uiPriority w:val="9"/>
    <w:rsid w:val="00437B2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37B29"/>
    <w:rPr>
      <w:color w:val="0000FF" w:themeColor="hyperlink"/>
      <w:u w:val="single"/>
    </w:rPr>
  </w:style>
  <w:style w:type="table" w:styleId="TableGrid">
    <w:name w:val="Table Grid"/>
    <w:basedOn w:val="TableNormal"/>
    <w:uiPriority w:val="59"/>
    <w:rsid w:val="0043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4611">
      <w:bodyDiv w:val="1"/>
      <w:marLeft w:val="0"/>
      <w:marRight w:val="0"/>
      <w:marTop w:val="0"/>
      <w:marBottom w:val="0"/>
      <w:divBdr>
        <w:top w:val="none" w:sz="0" w:space="0" w:color="auto"/>
        <w:left w:val="none" w:sz="0" w:space="0" w:color="auto"/>
        <w:bottom w:val="none" w:sz="0" w:space="0" w:color="auto"/>
        <w:right w:val="none" w:sz="0" w:space="0" w:color="auto"/>
      </w:divBdr>
    </w:div>
    <w:div w:id="125243569">
      <w:bodyDiv w:val="1"/>
      <w:marLeft w:val="0"/>
      <w:marRight w:val="0"/>
      <w:marTop w:val="0"/>
      <w:marBottom w:val="0"/>
      <w:divBdr>
        <w:top w:val="none" w:sz="0" w:space="0" w:color="auto"/>
        <w:left w:val="none" w:sz="0" w:space="0" w:color="auto"/>
        <w:bottom w:val="none" w:sz="0" w:space="0" w:color="auto"/>
        <w:right w:val="none" w:sz="0" w:space="0" w:color="auto"/>
      </w:divBdr>
    </w:div>
    <w:div w:id="558784411">
      <w:bodyDiv w:val="1"/>
      <w:marLeft w:val="0"/>
      <w:marRight w:val="0"/>
      <w:marTop w:val="0"/>
      <w:marBottom w:val="0"/>
      <w:divBdr>
        <w:top w:val="none" w:sz="0" w:space="0" w:color="auto"/>
        <w:left w:val="none" w:sz="0" w:space="0" w:color="auto"/>
        <w:bottom w:val="none" w:sz="0" w:space="0" w:color="auto"/>
        <w:right w:val="none" w:sz="0" w:space="0" w:color="auto"/>
      </w:divBdr>
    </w:div>
    <w:div w:id="925500890">
      <w:bodyDiv w:val="1"/>
      <w:marLeft w:val="0"/>
      <w:marRight w:val="0"/>
      <w:marTop w:val="0"/>
      <w:marBottom w:val="0"/>
      <w:divBdr>
        <w:top w:val="none" w:sz="0" w:space="0" w:color="auto"/>
        <w:left w:val="none" w:sz="0" w:space="0" w:color="auto"/>
        <w:bottom w:val="none" w:sz="0" w:space="0" w:color="auto"/>
        <w:right w:val="none" w:sz="0" w:space="0" w:color="auto"/>
      </w:divBdr>
    </w:div>
    <w:div w:id="1076631806">
      <w:bodyDiv w:val="1"/>
      <w:marLeft w:val="0"/>
      <w:marRight w:val="0"/>
      <w:marTop w:val="0"/>
      <w:marBottom w:val="0"/>
      <w:divBdr>
        <w:top w:val="none" w:sz="0" w:space="0" w:color="auto"/>
        <w:left w:val="none" w:sz="0" w:space="0" w:color="auto"/>
        <w:bottom w:val="none" w:sz="0" w:space="0" w:color="auto"/>
        <w:right w:val="none" w:sz="0" w:space="0" w:color="auto"/>
      </w:divBdr>
    </w:div>
    <w:div w:id="1204749673">
      <w:bodyDiv w:val="1"/>
      <w:marLeft w:val="0"/>
      <w:marRight w:val="0"/>
      <w:marTop w:val="0"/>
      <w:marBottom w:val="0"/>
      <w:divBdr>
        <w:top w:val="none" w:sz="0" w:space="0" w:color="auto"/>
        <w:left w:val="none" w:sz="0" w:space="0" w:color="auto"/>
        <w:bottom w:val="none" w:sz="0" w:space="0" w:color="auto"/>
        <w:right w:val="none" w:sz="0" w:space="0" w:color="auto"/>
      </w:divBdr>
    </w:div>
    <w:div w:id="1272858551">
      <w:bodyDiv w:val="1"/>
      <w:marLeft w:val="0"/>
      <w:marRight w:val="0"/>
      <w:marTop w:val="0"/>
      <w:marBottom w:val="0"/>
      <w:divBdr>
        <w:top w:val="none" w:sz="0" w:space="0" w:color="auto"/>
        <w:left w:val="none" w:sz="0" w:space="0" w:color="auto"/>
        <w:bottom w:val="none" w:sz="0" w:space="0" w:color="auto"/>
        <w:right w:val="none" w:sz="0" w:space="0" w:color="auto"/>
      </w:divBdr>
    </w:div>
    <w:div w:id="1292201757">
      <w:bodyDiv w:val="1"/>
      <w:marLeft w:val="0"/>
      <w:marRight w:val="0"/>
      <w:marTop w:val="0"/>
      <w:marBottom w:val="0"/>
      <w:divBdr>
        <w:top w:val="none" w:sz="0" w:space="0" w:color="auto"/>
        <w:left w:val="none" w:sz="0" w:space="0" w:color="auto"/>
        <w:bottom w:val="none" w:sz="0" w:space="0" w:color="auto"/>
        <w:right w:val="none" w:sz="0" w:space="0" w:color="auto"/>
      </w:divBdr>
    </w:div>
    <w:div w:id="1408499984">
      <w:bodyDiv w:val="1"/>
      <w:marLeft w:val="0"/>
      <w:marRight w:val="0"/>
      <w:marTop w:val="0"/>
      <w:marBottom w:val="0"/>
      <w:divBdr>
        <w:top w:val="none" w:sz="0" w:space="0" w:color="auto"/>
        <w:left w:val="none" w:sz="0" w:space="0" w:color="auto"/>
        <w:bottom w:val="none" w:sz="0" w:space="0" w:color="auto"/>
        <w:right w:val="none" w:sz="0" w:space="0" w:color="auto"/>
      </w:divBdr>
    </w:div>
    <w:div w:id="203110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ascap.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1952D-5D4F-44F5-9069-30D9E0C1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4269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Clifford Binder</dc:creator>
  <cp:lastModifiedBy>Aspermont Portfolio Management</cp:lastModifiedBy>
  <cp:revision>21</cp:revision>
  <cp:lastPrinted>2026-05-08T12:44:00Z</cp:lastPrinted>
  <dcterms:created xsi:type="dcterms:W3CDTF">2026-01-13T15:54:00Z</dcterms:created>
  <dcterms:modified xsi:type="dcterms:W3CDTF">2026-05-08T12:44:00Z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7528d0e2568377605a8c6b54eee1e268fd46e12ff2b9c1e08239029e7bec4c60</vt:lpwstr>
  </property>
</Properties>
</file>